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6A671" w14:textId="2E689974" w:rsidR="00700EB6" w:rsidRPr="00700EB6" w:rsidRDefault="00700EB6" w:rsidP="00700EB6">
      <w:pPr>
        <w:autoSpaceDE w:val="0"/>
        <w:autoSpaceDN w:val="0"/>
        <w:adjustRightInd w:val="0"/>
        <w:rPr>
          <w:rFonts w:ascii="Calibri" w:hAnsi="Calibri" w:cs="Calibri"/>
          <w:color w:val="000000"/>
          <w:kern w:val="0"/>
          <w:lang w:val="en-US"/>
        </w:rPr>
      </w:pPr>
      <w:r w:rsidRPr="00700EB6">
        <w:rPr>
          <w:rFonts w:ascii="Calibri" w:hAnsi="Calibri" w:cs="Calibri"/>
          <w:color w:val="000000"/>
          <w:kern w:val="0"/>
          <w:lang w:val="en-US"/>
        </w:rPr>
        <w:t>Andreas M. Hilger</w:t>
      </w:r>
      <w:r>
        <w:rPr>
          <w:rFonts w:ascii="Calibri" w:hAnsi="Calibri" w:cs="Calibri"/>
          <w:color w:val="000000"/>
          <w:kern w:val="0"/>
          <w:lang w:val="en-US"/>
        </w:rPr>
        <w:t>, Ph.D., Post-doctoral Researcher at University of Regensburg</w:t>
      </w:r>
    </w:p>
    <w:p w14:paraId="5D64F039" w14:textId="77777777" w:rsidR="00700EB6" w:rsidRPr="00700EB6" w:rsidRDefault="00700EB6" w:rsidP="00700EB6">
      <w:pPr>
        <w:autoSpaceDE w:val="0"/>
        <w:autoSpaceDN w:val="0"/>
        <w:adjustRightInd w:val="0"/>
        <w:rPr>
          <w:rFonts w:ascii="Calibri" w:hAnsi="Calibri" w:cs="Calibri"/>
          <w:color w:val="000000"/>
          <w:kern w:val="0"/>
          <w:lang w:val="en-US"/>
        </w:rPr>
      </w:pPr>
      <w:r w:rsidRPr="00700EB6">
        <w:rPr>
          <w:rFonts w:ascii="Calibri" w:hAnsi="Calibri" w:cs="Calibri"/>
          <w:color w:val="000000"/>
          <w:kern w:val="0"/>
          <w:lang w:val="en-US"/>
        </w:rPr>
        <w:t>Email Address:</w:t>
      </w:r>
      <w:r w:rsidRPr="00700EB6">
        <w:rPr>
          <w:rFonts w:ascii="Calibri" w:hAnsi="Calibri" w:cs="Calibri"/>
          <w:color w:val="000000"/>
          <w:kern w:val="0"/>
          <w:lang w:val="en-US"/>
        </w:rPr>
        <w:t xml:space="preserve"> </w:t>
      </w:r>
      <w:hyperlink r:id="rId5" w:history="1">
        <w:r w:rsidRPr="00700EB6">
          <w:rPr>
            <w:color w:val="000000"/>
            <w:lang w:val="en-US"/>
          </w:rPr>
          <w:t>andreas.hilger@ur.de</w:t>
        </w:r>
      </w:hyperlink>
    </w:p>
    <w:p w14:paraId="5F98C67C" w14:textId="088E7AE0" w:rsidR="00700EB6" w:rsidRPr="00700EB6" w:rsidRDefault="00700EB6" w:rsidP="00700EB6">
      <w:pPr>
        <w:autoSpaceDE w:val="0"/>
        <w:autoSpaceDN w:val="0"/>
        <w:adjustRightInd w:val="0"/>
        <w:rPr>
          <w:rFonts w:ascii="Calibri" w:hAnsi="Calibri" w:cs="Calibri"/>
          <w:color w:val="000000"/>
          <w:kern w:val="0"/>
          <w:lang w:val="en-US"/>
        </w:rPr>
      </w:pPr>
      <w:r w:rsidRPr="00700EB6">
        <w:rPr>
          <w:rFonts w:ascii="Calibri" w:hAnsi="Calibri" w:cs="Calibri"/>
          <w:color w:val="000000"/>
          <w:kern w:val="0"/>
          <w:lang w:val="en-US"/>
        </w:rPr>
        <w:t xml:space="preserve">ORCID ID: </w:t>
      </w:r>
      <w:hyperlink r:id="rId6" w:history="1">
        <w:r w:rsidRPr="00700EB6">
          <w:rPr>
            <w:rFonts w:ascii="Calibri" w:hAnsi="Calibri" w:cs="Calibri"/>
            <w:color w:val="000000"/>
            <w:kern w:val="0"/>
            <w:lang w:val="en-US"/>
          </w:rPr>
          <w:t>0000-0002-7460-7521</w:t>
        </w:r>
      </w:hyperlink>
    </w:p>
    <w:p w14:paraId="1AC8B9F7" w14:textId="57615C12" w:rsidR="00700EB6" w:rsidRPr="00700EB6" w:rsidRDefault="00700EB6" w:rsidP="00700EB6">
      <w:pPr>
        <w:autoSpaceDE w:val="0"/>
        <w:autoSpaceDN w:val="0"/>
        <w:adjustRightInd w:val="0"/>
        <w:rPr>
          <w:rFonts w:ascii="Calibri" w:hAnsi="Calibri" w:cs="Calibri"/>
          <w:color w:val="000000"/>
          <w:kern w:val="0"/>
          <w:lang w:val="en-US"/>
        </w:rPr>
      </w:pPr>
      <w:r w:rsidRPr="00700EB6">
        <w:rPr>
          <w:rFonts w:ascii="Calibri" w:hAnsi="Calibri" w:cs="Calibri"/>
          <w:color w:val="000000"/>
          <w:kern w:val="0"/>
          <w:lang w:val="en-US"/>
        </w:rPr>
        <w:t xml:space="preserve">Research interests: International </w:t>
      </w:r>
      <w:r w:rsidRPr="00700EB6">
        <w:rPr>
          <w:rFonts w:ascii="Calibri" w:hAnsi="Calibri" w:cs="Calibri"/>
          <w:color w:val="000000"/>
          <w:kern w:val="0"/>
          <w:lang w:val="en-US"/>
        </w:rPr>
        <w:t xml:space="preserve">Management, Intercultural Management, </w:t>
      </w:r>
      <w:r w:rsidRPr="00700EB6">
        <w:rPr>
          <w:rFonts w:ascii="Calibri" w:hAnsi="Calibri" w:cs="Calibri"/>
          <w:color w:val="000000"/>
          <w:kern w:val="0"/>
          <w:lang w:val="en-US"/>
        </w:rPr>
        <w:t>Diversity Management</w:t>
      </w:r>
      <w:r w:rsidRPr="00700EB6">
        <w:rPr>
          <w:rFonts w:ascii="Calibri" w:hAnsi="Calibri" w:cs="Calibri"/>
          <w:color w:val="000000"/>
          <w:kern w:val="0"/>
          <w:lang w:val="en-US"/>
        </w:rPr>
        <w:t xml:space="preserve">, </w:t>
      </w:r>
      <w:r w:rsidRPr="00700EB6">
        <w:rPr>
          <w:rFonts w:ascii="Calibri" w:hAnsi="Calibri" w:cs="Calibri"/>
          <w:color w:val="000000"/>
          <w:kern w:val="0"/>
          <w:lang w:val="en-US"/>
        </w:rPr>
        <w:t>Human Resource Management</w:t>
      </w:r>
      <w:r w:rsidRPr="00700EB6">
        <w:rPr>
          <w:rFonts w:ascii="Calibri" w:hAnsi="Calibri" w:cs="Calibri"/>
          <w:color w:val="000000"/>
          <w:kern w:val="0"/>
          <w:lang w:val="en-US"/>
        </w:rPr>
        <w:t xml:space="preserve">, </w:t>
      </w:r>
      <w:r w:rsidRPr="00700EB6">
        <w:rPr>
          <w:rFonts w:ascii="Calibri" w:hAnsi="Calibri" w:cs="Calibri"/>
          <w:color w:val="000000"/>
          <w:kern w:val="0"/>
          <w:lang w:val="en-US"/>
        </w:rPr>
        <w:t>Strategic Management</w:t>
      </w:r>
      <w:r w:rsidRPr="00700EB6">
        <w:rPr>
          <w:rFonts w:ascii="Calibri" w:hAnsi="Calibri" w:cs="Calibri"/>
          <w:color w:val="000000"/>
          <w:kern w:val="0"/>
          <w:lang w:val="en-US"/>
        </w:rPr>
        <w:t>, Area Studies, Institutional Theory</w:t>
      </w:r>
    </w:p>
    <w:p w14:paraId="12DC2651" w14:textId="77777777" w:rsidR="00700EB6" w:rsidRPr="00700EB6" w:rsidRDefault="00700EB6" w:rsidP="00700EB6">
      <w:pPr>
        <w:autoSpaceDE w:val="0"/>
        <w:autoSpaceDN w:val="0"/>
        <w:adjustRightInd w:val="0"/>
        <w:rPr>
          <w:rFonts w:ascii="Calibri" w:hAnsi="Calibri" w:cs="Calibri"/>
          <w:color w:val="000000"/>
          <w:kern w:val="0"/>
          <w:lang w:val="en-US"/>
        </w:rPr>
      </w:pPr>
    </w:p>
    <w:p w14:paraId="3766CCAC" w14:textId="77777777" w:rsidR="00700EB6" w:rsidRPr="00700EB6" w:rsidRDefault="00700EB6" w:rsidP="00700EB6">
      <w:pPr>
        <w:autoSpaceDE w:val="0"/>
        <w:autoSpaceDN w:val="0"/>
        <w:adjustRightInd w:val="0"/>
        <w:rPr>
          <w:rFonts w:ascii="Calibri" w:hAnsi="Calibri" w:cs="Calibri"/>
          <w:color w:val="000000"/>
          <w:kern w:val="0"/>
          <w:lang w:val="en-US"/>
        </w:rPr>
      </w:pPr>
    </w:p>
    <w:p w14:paraId="1DD354DB" w14:textId="2168B2DA" w:rsidR="00700EB6" w:rsidRPr="00700EB6" w:rsidRDefault="00700EB6" w:rsidP="00700EB6">
      <w:pPr>
        <w:autoSpaceDE w:val="0"/>
        <w:autoSpaceDN w:val="0"/>
        <w:adjustRightInd w:val="0"/>
        <w:rPr>
          <w:rFonts w:ascii="Calibri" w:hAnsi="Calibri" w:cs="Calibri"/>
          <w:color w:val="000000"/>
          <w:kern w:val="0"/>
          <w:lang w:val="en-US"/>
        </w:rPr>
      </w:pPr>
      <w:r>
        <w:rPr>
          <w:rFonts w:ascii="Calibri" w:hAnsi="Calibri" w:cs="Calibri"/>
          <w:color w:val="000000"/>
          <w:kern w:val="0"/>
          <w:lang w:val="en-US"/>
        </w:rPr>
        <w:t xml:space="preserve">Emil </w:t>
      </w:r>
      <w:proofErr w:type="spellStart"/>
      <w:r>
        <w:rPr>
          <w:rFonts w:ascii="Calibri" w:hAnsi="Calibri" w:cs="Calibri"/>
          <w:color w:val="000000"/>
          <w:kern w:val="0"/>
          <w:lang w:val="en-US"/>
        </w:rPr>
        <w:t>Velinov</w:t>
      </w:r>
      <w:proofErr w:type="spellEnd"/>
      <w:r>
        <w:rPr>
          <w:rFonts w:ascii="Calibri" w:hAnsi="Calibri" w:cs="Calibri"/>
          <w:color w:val="000000"/>
          <w:kern w:val="0"/>
          <w:lang w:val="en-US"/>
        </w:rPr>
        <w:t xml:space="preserve">, </w:t>
      </w:r>
      <w:r w:rsidRPr="00700EB6">
        <w:rPr>
          <w:rFonts w:ascii="Calibri" w:hAnsi="Calibri" w:cs="Calibri"/>
          <w:color w:val="000000"/>
          <w:kern w:val="0"/>
          <w:lang w:val="en-US"/>
        </w:rPr>
        <w:t xml:space="preserve">Ph.D. </w:t>
      </w:r>
    </w:p>
    <w:p w14:paraId="36535D63" w14:textId="77777777" w:rsidR="00700EB6" w:rsidRPr="00700EB6" w:rsidRDefault="00700EB6" w:rsidP="00700EB6">
      <w:pPr>
        <w:autoSpaceDE w:val="0"/>
        <w:autoSpaceDN w:val="0"/>
        <w:adjustRightInd w:val="0"/>
        <w:rPr>
          <w:rFonts w:ascii="Calibri" w:hAnsi="Calibri" w:cs="Calibri"/>
          <w:color w:val="000000"/>
          <w:kern w:val="0"/>
          <w:lang w:val="en-US"/>
        </w:rPr>
      </w:pPr>
      <w:r w:rsidRPr="00700EB6">
        <w:rPr>
          <w:rFonts w:ascii="Calibri" w:hAnsi="Calibri" w:cs="Calibri"/>
          <w:color w:val="000000"/>
          <w:kern w:val="0"/>
          <w:lang w:val="en-US"/>
        </w:rPr>
        <w:t xml:space="preserve">Email Address: emil.velinov@savs.cz </w:t>
      </w:r>
    </w:p>
    <w:p w14:paraId="017A7E2E" w14:textId="77777777" w:rsidR="00700EB6" w:rsidRPr="00700EB6" w:rsidRDefault="00700EB6" w:rsidP="00700EB6">
      <w:pPr>
        <w:rPr>
          <w:rFonts w:ascii="Calibri" w:hAnsi="Calibri" w:cs="Calibri"/>
          <w:color w:val="000000"/>
          <w:kern w:val="0"/>
          <w:lang w:val="en-US"/>
        </w:rPr>
      </w:pPr>
      <w:r w:rsidRPr="00700EB6">
        <w:rPr>
          <w:rFonts w:ascii="Calibri" w:hAnsi="Calibri" w:cs="Calibri"/>
          <w:color w:val="000000"/>
          <w:kern w:val="0"/>
          <w:lang w:val="en-US"/>
        </w:rPr>
        <w:t xml:space="preserve">ORCID ID: http://orcid.org/0000-0001-6073-1196 </w:t>
      </w:r>
    </w:p>
    <w:p w14:paraId="7129694F" w14:textId="7DC7A104" w:rsidR="00700EB6" w:rsidRPr="00700EB6" w:rsidRDefault="00700EB6" w:rsidP="00700EB6">
      <w:pPr>
        <w:rPr>
          <w:rFonts w:ascii="Calibri" w:hAnsi="Calibri" w:cs="Calibri"/>
          <w:color w:val="000000"/>
          <w:kern w:val="0"/>
          <w:lang w:val="en-US"/>
        </w:rPr>
      </w:pPr>
      <w:r w:rsidRPr="00700EB6">
        <w:rPr>
          <w:rFonts w:ascii="Calibri" w:hAnsi="Calibri" w:cs="Calibri"/>
          <w:color w:val="000000"/>
          <w:kern w:val="0"/>
          <w:lang w:val="en-US"/>
        </w:rPr>
        <w:t>Research interests: T</w:t>
      </w:r>
      <w:r w:rsidRPr="00700EB6">
        <w:rPr>
          <w:rFonts w:ascii="Calibri" w:hAnsi="Calibri" w:cs="Calibri"/>
          <w:color w:val="000000"/>
          <w:kern w:val="0"/>
          <w:lang w:val="en-US"/>
        </w:rPr>
        <w:t xml:space="preserve">op Management Teams Diversity, Team Performance, </w:t>
      </w:r>
      <w:proofErr w:type="gramStart"/>
      <w:r w:rsidRPr="00700EB6">
        <w:rPr>
          <w:rFonts w:ascii="Calibri" w:hAnsi="Calibri" w:cs="Calibri"/>
          <w:color w:val="000000"/>
          <w:kern w:val="0"/>
          <w:lang w:val="en-US"/>
        </w:rPr>
        <w:t>Diversity</w:t>
      </w:r>
      <w:proofErr w:type="gramEnd"/>
      <w:r w:rsidRPr="00700EB6">
        <w:rPr>
          <w:rFonts w:ascii="Calibri" w:hAnsi="Calibri" w:cs="Calibri"/>
          <w:color w:val="000000"/>
          <w:kern w:val="0"/>
          <w:lang w:val="en-US"/>
        </w:rPr>
        <w:t xml:space="preserve"> and Inclusion in Multinational Firms</w:t>
      </w:r>
    </w:p>
    <w:p w14:paraId="6E64340D" w14:textId="4D15F3F5" w:rsidR="00700EB6" w:rsidRPr="00700EB6" w:rsidRDefault="00700EB6" w:rsidP="00700EB6">
      <w:pPr>
        <w:rPr>
          <w:rFonts w:ascii="Calibri" w:hAnsi="Calibri" w:cs="Calibri"/>
          <w:color w:val="000000"/>
          <w:kern w:val="0"/>
          <w:sz w:val="22"/>
          <w:szCs w:val="22"/>
          <w:lang w:val="en-US"/>
        </w:rPr>
      </w:pPr>
      <w:r w:rsidRPr="00700EB6">
        <w:rPr>
          <w:rFonts w:ascii="Calibri" w:hAnsi="Calibri" w:cs="Calibri"/>
          <w:color w:val="000000"/>
          <w:kern w:val="0"/>
          <w:sz w:val="22"/>
          <w:szCs w:val="22"/>
          <w:lang w:val="en-US"/>
        </w:rPr>
        <w:br w:type="page"/>
      </w:r>
    </w:p>
    <w:p w14:paraId="4963E729" w14:textId="1C89D2AF" w:rsidR="000D3A89" w:rsidRPr="00E541D8" w:rsidRDefault="000F7C46" w:rsidP="00084099">
      <w:pPr>
        <w:spacing w:line="360" w:lineRule="auto"/>
        <w:jc w:val="center"/>
        <w:rPr>
          <w:b/>
          <w:bCs/>
          <w:sz w:val="36"/>
          <w:szCs w:val="36"/>
        </w:rPr>
      </w:pPr>
      <w:r w:rsidRPr="00E541D8">
        <w:rPr>
          <w:b/>
          <w:bCs/>
          <w:sz w:val="36"/>
          <w:szCs w:val="36"/>
        </w:rPr>
        <w:lastRenderedPageBreak/>
        <w:t xml:space="preserve">The Impact of multinational corporations on </w:t>
      </w:r>
      <w:r w:rsidR="00AB3046" w:rsidRPr="00E541D8">
        <w:rPr>
          <w:b/>
          <w:bCs/>
          <w:sz w:val="36"/>
          <w:szCs w:val="36"/>
        </w:rPr>
        <w:t>d</w:t>
      </w:r>
      <w:r w:rsidRPr="00E541D8">
        <w:rPr>
          <w:b/>
          <w:bCs/>
          <w:sz w:val="36"/>
          <w:szCs w:val="36"/>
        </w:rPr>
        <w:t xml:space="preserve">iversity, </w:t>
      </w:r>
      <w:r w:rsidR="00AB3046" w:rsidRPr="00E541D8">
        <w:rPr>
          <w:b/>
          <w:bCs/>
          <w:sz w:val="36"/>
          <w:szCs w:val="36"/>
        </w:rPr>
        <w:t>e</w:t>
      </w:r>
      <w:r w:rsidRPr="00E541D8">
        <w:rPr>
          <w:b/>
          <w:bCs/>
          <w:sz w:val="36"/>
          <w:szCs w:val="36"/>
        </w:rPr>
        <w:t xml:space="preserve">quality, and </w:t>
      </w:r>
      <w:r w:rsidR="00AB3046" w:rsidRPr="00E541D8">
        <w:rPr>
          <w:b/>
          <w:bCs/>
          <w:sz w:val="36"/>
          <w:szCs w:val="36"/>
        </w:rPr>
        <w:t>i</w:t>
      </w:r>
      <w:r w:rsidRPr="00E541D8">
        <w:rPr>
          <w:b/>
          <w:bCs/>
          <w:sz w:val="36"/>
          <w:szCs w:val="36"/>
        </w:rPr>
        <w:t>nclusion in CEE</w:t>
      </w:r>
    </w:p>
    <w:p w14:paraId="343F427A" w14:textId="7EAFCC35" w:rsidR="0030476E" w:rsidRPr="00E541D8" w:rsidRDefault="0030476E" w:rsidP="00084099">
      <w:pPr>
        <w:spacing w:line="360" w:lineRule="auto"/>
        <w:jc w:val="center"/>
        <w:rPr>
          <w:rFonts w:cstheme="minorHAnsi"/>
        </w:rPr>
      </w:pPr>
      <w:r w:rsidRPr="00E541D8">
        <w:rPr>
          <w:rFonts w:cstheme="minorHAnsi"/>
        </w:rPr>
        <w:t>(</w:t>
      </w:r>
      <w:r w:rsidR="00E55074" w:rsidRPr="00E541D8">
        <w:rPr>
          <w:rFonts w:cstheme="minorHAnsi"/>
        </w:rPr>
        <w:t xml:space="preserve">chapter </w:t>
      </w:r>
      <w:r w:rsidRPr="00E541D8">
        <w:rPr>
          <w:rFonts w:cstheme="minorHAnsi"/>
        </w:rPr>
        <w:t>target 7’000-8’000 words</w:t>
      </w:r>
      <w:r w:rsidR="002241C9" w:rsidRPr="00E541D8">
        <w:rPr>
          <w:rFonts w:cstheme="minorHAnsi"/>
        </w:rPr>
        <w:t xml:space="preserve"> – Deadline June 30th</w:t>
      </w:r>
      <w:r w:rsidR="00E8570A" w:rsidRPr="00E541D8">
        <w:rPr>
          <w:rFonts w:cstheme="minorHAnsi"/>
        </w:rPr>
        <w:t>, 2024</w:t>
      </w:r>
      <w:r w:rsidR="002241C9" w:rsidRPr="00E541D8">
        <w:rPr>
          <w:rFonts w:cstheme="minorHAnsi"/>
        </w:rPr>
        <w:t>)</w:t>
      </w:r>
    </w:p>
    <w:p w14:paraId="7893A920" w14:textId="77777777" w:rsidR="000F7C46" w:rsidRPr="00E541D8" w:rsidRDefault="000F7C46" w:rsidP="00084099">
      <w:pPr>
        <w:spacing w:line="360" w:lineRule="auto"/>
        <w:jc w:val="center"/>
        <w:rPr>
          <w:b/>
          <w:bCs/>
          <w:sz w:val="36"/>
          <w:szCs w:val="36"/>
        </w:rPr>
      </w:pPr>
    </w:p>
    <w:p w14:paraId="54CBD023" w14:textId="5316366F" w:rsidR="001B05FC" w:rsidRPr="00E541D8" w:rsidRDefault="001B05FC" w:rsidP="005376EE">
      <w:pPr>
        <w:spacing w:line="360" w:lineRule="auto"/>
        <w:jc w:val="both"/>
        <w:rPr>
          <w:rFonts w:cstheme="minorHAnsi"/>
          <w:b/>
          <w:bCs/>
        </w:rPr>
      </w:pPr>
      <w:r w:rsidRPr="00E541D8">
        <w:rPr>
          <w:rFonts w:cstheme="minorHAnsi"/>
          <w:b/>
          <w:bCs/>
        </w:rPr>
        <w:t>Introduction</w:t>
      </w:r>
    </w:p>
    <w:p w14:paraId="76EB42C0" w14:textId="0A8976B4" w:rsidR="00353223" w:rsidRPr="00E541D8" w:rsidRDefault="00646686" w:rsidP="005376EE">
      <w:pPr>
        <w:spacing w:line="360" w:lineRule="auto"/>
        <w:jc w:val="both"/>
        <w:rPr>
          <w:rFonts w:ascii="Calibri" w:hAnsi="Calibri" w:cs="Calibri"/>
          <w:color w:val="000000"/>
        </w:rPr>
      </w:pPr>
      <w:r w:rsidRPr="00E541D8">
        <w:rPr>
          <w:rFonts w:cstheme="minorHAnsi"/>
        </w:rPr>
        <w:t>Multinational corporations (</w:t>
      </w:r>
      <w:r w:rsidRPr="00E541D8">
        <w:rPr>
          <w:rFonts w:eastAsia="TimesNewRomanPSMT" w:cstheme="minorHAnsi"/>
        </w:rPr>
        <w:t xml:space="preserve">MNCs) play a crucial role in disseminating </w:t>
      </w:r>
      <w:r w:rsidR="007352AA" w:rsidRPr="00E541D8">
        <w:rPr>
          <w:rFonts w:eastAsia="TimesNewRomanPSMT" w:cstheme="minorHAnsi"/>
        </w:rPr>
        <w:t>organizational</w:t>
      </w:r>
      <w:r w:rsidR="00B530DA" w:rsidRPr="00E541D8">
        <w:rPr>
          <w:rFonts w:eastAsia="TimesNewRomanPSMT" w:cstheme="minorHAnsi"/>
        </w:rPr>
        <w:t xml:space="preserve"> </w:t>
      </w:r>
      <w:r w:rsidRPr="00E541D8">
        <w:rPr>
          <w:rFonts w:eastAsia="TimesNewRomanPSMT" w:cstheme="minorHAnsi"/>
        </w:rPr>
        <w:t>practices across their global network</w:t>
      </w:r>
      <w:r w:rsidR="00CD02C6" w:rsidRPr="00E541D8">
        <w:rPr>
          <w:rFonts w:eastAsia="TimesNewRomanPSMT" w:cstheme="minorHAnsi"/>
        </w:rPr>
        <w:t xml:space="preserve"> </w:t>
      </w:r>
      <w:r w:rsidR="00CD02C6" w:rsidRPr="00E541D8">
        <w:rPr>
          <w:rFonts w:ascii="Calibri" w:hAnsi="Calibri" w:cs="Calibri"/>
          <w:color w:val="000000"/>
        </w:rPr>
        <w:t>(</w:t>
      </w:r>
      <w:proofErr w:type="spellStart"/>
      <w:r w:rsidR="00CD02C6" w:rsidRPr="00E541D8">
        <w:rPr>
          <w:rFonts w:ascii="Calibri" w:hAnsi="Calibri" w:cs="Calibri"/>
          <w:color w:val="000000"/>
        </w:rPr>
        <w:t>Geppert</w:t>
      </w:r>
      <w:proofErr w:type="spellEnd"/>
      <w:r w:rsidR="00CD02C6" w:rsidRPr="00E541D8">
        <w:rPr>
          <w:rFonts w:ascii="Calibri" w:hAnsi="Calibri" w:cs="Calibri"/>
          <w:color w:val="000000"/>
        </w:rPr>
        <w:t xml:space="preserve"> et al., 2006; Song, 2021). </w:t>
      </w:r>
      <w:r w:rsidRPr="00E541D8">
        <w:rPr>
          <w:rFonts w:eastAsia="TimesNewRomanPSMT" w:cstheme="minorHAnsi"/>
        </w:rPr>
        <w:t xml:space="preserve">This transfer often aims to replicate </w:t>
      </w:r>
      <w:r w:rsidR="007352AA" w:rsidRPr="00E541D8">
        <w:rPr>
          <w:rFonts w:eastAsia="TimesNewRomanPSMT" w:cstheme="minorHAnsi"/>
        </w:rPr>
        <w:t xml:space="preserve">dominant </w:t>
      </w:r>
      <w:r w:rsidR="00084099" w:rsidRPr="00E541D8">
        <w:rPr>
          <w:rFonts w:eastAsia="TimesNewRomanPSMT" w:cstheme="minorHAnsi"/>
        </w:rPr>
        <w:t xml:space="preserve">or </w:t>
      </w:r>
      <w:r w:rsidR="007352AA" w:rsidRPr="00E541D8">
        <w:rPr>
          <w:rFonts w:eastAsia="TimesNewRomanPSMT" w:cstheme="minorHAnsi"/>
        </w:rPr>
        <w:t xml:space="preserve">local </w:t>
      </w:r>
      <w:r w:rsidRPr="00E541D8">
        <w:rPr>
          <w:rFonts w:eastAsia="TimesNewRomanPSMT" w:cstheme="minorHAnsi"/>
        </w:rPr>
        <w:t xml:space="preserve">practices </w:t>
      </w:r>
      <w:r w:rsidR="00215B9E" w:rsidRPr="00E541D8">
        <w:rPr>
          <w:rFonts w:eastAsia="TimesNewRomanPSMT" w:cstheme="minorHAnsi"/>
        </w:rPr>
        <w:t>from</w:t>
      </w:r>
      <w:r w:rsidRPr="00E541D8">
        <w:rPr>
          <w:rFonts w:eastAsia="TimesNewRomanPSMT" w:cstheme="minorHAnsi"/>
        </w:rPr>
        <w:t xml:space="preserve"> </w:t>
      </w:r>
      <w:r w:rsidR="00215B9E" w:rsidRPr="00E541D8">
        <w:rPr>
          <w:rFonts w:eastAsia="TimesNewRomanPSMT" w:cstheme="minorHAnsi"/>
        </w:rPr>
        <w:t xml:space="preserve">the </w:t>
      </w:r>
      <w:r w:rsidRPr="00E541D8">
        <w:rPr>
          <w:rFonts w:eastAsia="TimesNewRomanPSMT" w:cstheme="minorHAnsi"/>
        </w:rPr>
        <w:t xml:space="preserve">home country </w:t>
      </w:r>
      <w:r w:rsidR="00215B9E" w:rsidRPr="00E541D8">
        <w:rPr>
          <w:rFonts w:eastAsia="TimesNewRomanPSMT" w:cstheme="minorHAnsi"/>
        </w:rPr>
        <w:t>abroad or to adapt</w:t>
      </w:r>
      <w:r w:rsidRPr="00E541D8">
        <w:rPr>
          <w:rFonts w:eastAsia="TimesNewRomanPSMT" w:cstheme="minorHAnsi"/>
        </w:rPr>
        <w:t xml:space="preserve"> them to the specific local contexts of subsidiary operations</w:t>
      </w:r>
      <w:r w:rsidR="007352AA" w:rsidRPr="00E541D8">
        <w:rPr>
          <w:rFonts w:eastAsia="TimesNewRomanPSMT" w:cstheme="minorHAnsi"/>
        </w:rPr>
        <w:t xml:space="preserve"> (</w:t>
      </w:r>
      <w:proofErr w:type="spellStart"/>
      <w:r w:rsidR="007352AA" w:rsidRPr="00E541D8">
        <w:rPr>
          <w:rFonts w:ascii="Calibri" w:hAnsi="Calibri" w:cs="Calibri"/>
          <w:color w:val="000000"/>
        </w:rPr>
        <w:t>Kostova</w:t>
      </w:r>
      <w:proofErr w:type="spellEnd"/>
      <w:r w:rsidR="007352AA" w:rsidRPr="00E541D8">
        <w:rPr>
          <w:rFonts w:ascii="Calibri" w:hAnsi="Calibri" w:cs="Calibri"/>
          <w:color w:val="000000"/>
        </w:rPr>
        <w:t xml:space="preserve"> and Roth, 2002</w:t>
      </w:r>
      <w:r w:rsidR="007352AA" w:rsidRPr="00E541D8">
        <w:rPr>
          <w:rFonts w:ascii="Calibri" w:hAnsi="Calibri" w:cs="Calibri"/>
        </w:rPr>
        <w:t>)</w:t>
      </w:r>
      <w:r w:rsidRPr="00E541D8">
        <w:rPr>
          <w:rFonts w:eastAsia="TimesNewRomanPSMT" w:cstheme="minorHAnsi"/>
        </w:rPr>
        <w:t xml:space="preserve">. </w:t>
      </w:r>
      <w:r w:rsidR="00AE6C97" w:rsidRPr="00E541D8">
        <w:t xml:space="preserve">Prior research has highlighted that the institutional environments of the subsidiaries need to be </w:t>
      </w:r>
      <w:r w:rsidR="003625CA" w:rsidRPr="00E541D8">
        <w:t>considered</w:t>
      </w:r>
      <w:r w:rsidR="00AE6C97" w:rsidRPr="00E541D8">
        <w:t xml:space="preserve"> when practices are implemented (</w:t>
      </w:r>
      <w:proofErr w:type="spellStart"/>
      <w:r w:rsidR="00AE6C97" w:rsidRPr="00E541D8">
        <w:t>Björkman</w:t>
      </w:r>
      <w:proofErr w:type="spellEnd"/>
      <w:r w:rsidR="00AE6C97" w:rsidRPr="00E541D8">
        <w:t xml:space="preserve"> and </w:t>
      </w:r>
      <w:proofErr w:type="spellStart"/>
      <w:r w:rsidR="00AE6C97" w:rsidRPr="00E541D8">
        <w:t>Lervik</w:t>
      </w:r>
      <w:proofErr w:type="spellEnd"/>
      <w:r w:rsidR="00AE6C97" w:rsidRPr="00E541D8">
        <w:t xml:space="preserve">, 2007; Edwards et al., 2007). </w:t>
      </w:r>
      <w:r w:rsidR="003625CA" w:rsidRPr="00E541D8">
        <w:rPr>
          <w:rFonts w:ascii="Calibri" w:hAnsi="Calibri" w:cs="Calibri"/>
          <w:color w:val="000000"/>
        </w:rPr>
        <w:t xml:space="preserve">However, companies may not only be recipients </w:t>
      </w:r>
      <w:r w:rsidR="00FC479F" w:rsidRPr="00E541D8">
        <w:rPr>
          <w:rFonts w:ascii="Calibri" w:hAnsi="Calibri" w:cs="Calibri"/>
          <w:color w:val="000000"/>
        </w:rPr>
        <w:t>governed by local</w:t>
      </w:r>
      <w:r w:rsidR="003625CA" w:rsidRPr="00E541D8">
        <w:rPr>
          <w:rFonts w:ascii="Calibri" w:hAnsi="Calibri" w:cs="Calibri"/>
          <w:color w:val="000000"/>
        </w:rPr>
        <w:t xml:space="preserve"> institutional </w:t>
      </w:r>
      <w:r w:rsidR="00550542" w:rsidRPr="00E541D8">
        <w:rPr>
          <w:rFonts w:ascii="Calibri" w:hAnsi="Calibri" w:cs="Calibri"/>
          <w:color w:val="000000"/>
        </w:rPr>
        <w:t>pressure but</w:t>
      </w:r>
      <w:r w:rsidR="003625CA" w:rsidRPr="00E541D8">
        <w:rPr>
          <w:rFonts w:ascii="Calibri" w:hAnsi="Calibri" w:cs="Calibri"/>
          <w:color w:val="000000"/>
        </w:rPr>
        <w:t xml:space="preserve"> may engage in </w:t>
      </w:r>
      <w:r w:rsidR="00FC479F" w:rsidRPr="00E541D8">
        <w:rPr>
          <w:rFonts w:ascii="Calibri" w:hAnsi="Calibri" w:cs="Calibri"/>
          <w:color w:val="000000"/>
        </w:rPr>
        <w:t>creative or even disruptive</w:t>
      </w:r>
      <w:r w:rsidR="003625CA" w:rsidRPr="00E541D8">
        <w:rPr>
          <w:rFonts w:ascii="Calibri" w:hAnsi="Calibri" w:cs="Calibri"/>
          <w:color w:val="000000"/>
        </w:rPr>
        <w:t xml:space="preserve"> forms of institutional work </w:t>
      </w:r>
      <w:r w:rsidR="00FC479F" w:rsidRPr="00E541D8">
        <w:rPr>
          <w:rFonts w:ascii="Calibri" w:hAnsi="Calibri" w:cs="Calibri"/>
          <w:color w:val="000000"/>
        </w:rPr>
        <w:t>(Lawrence and Suddaby, 2006).</w:t>
      </w:r>
      <w:r w:rsidR="0041320F">
        <w:rPr>
          <w:rFonts w:ascii="Calibri" w:hAnsi="Calibri" w:cs="Calibri"/>
          <w:color w:val="000000"/>
        </w:rPr>
        <w:t xml:space="preserve"> </w:t>
      </w:r>
      <w:r w:rsidR="0041320F">
        <w:rPr>
          <w:rFonts w:ascii="Segoe UI" w:hAnsi="Segoe UI" w:cs="Segoe UI"/>
          <w:color w:val="0D0D0D"/>
          <w:shd w:val="clear" w:color="auto" w:fill="FFFFFF"/>
        </w:rPr>
        <w:t>Multinational corporations (MNCs) are pivotal agents in the dissemination of organizational practices throughout their global network. This phenomenon, extensively discussed in scholarly literature (</w:t>
      </w:r>
      <w:proofErr w:type="spellStart"/>
      <w:r w:rsidR="0041320F">
        <w:rPr>
          <w:rFonts w:ascii="Segoe UI" w:hAnsi="Segoe UI" w:cs="Segoe UI"/>
          <w:color w:val="0D0D0D"/>
          <w:shd w:val="clear" w:color="auto" w:fill="FFFFFF"/>
        </w:rPr>
        <w:t>Geppert</w:t>
      </w:r>
      <w:proofErr w:type="spellEnd"/>
      <w:r w:rsidR="0041320F">
        <w:rPr>
          <w:rFonts w:ascii="Segoe UI" w:hAnsi="Segoe UI" w:cs="Segoe UI"/>
          <w:color w:val="0D0D0D"/>
          <w:shd w:val="clear" w:color="auto" w:fill="FFFFFF"/>
        </w:rPr>
        <w:t xml:space="preserve"> et al., 2006; Song, 2021), involves the transfer of practices either to replicate dominant strategies from the home country or to adapt them to local contexts in subsidiary operations (</w:t>
      </w:r>
      <w:proofErr w:type="spellStart"/>
      <w:r w:rsidR="0041320F">
        <w:rPr>
          <w:rFonts w:ascii="Segoe UI" w:hAnsi="Segoe UI" w:cs="Segoe UI"/>
          <w:color w:val="0D0D0D"/>
          <w:shd w:val="clear" w:color="auto" w:fill="FFFFFF"/>
        </w:rPr>
        <w:t>Kostova</w:t>
      </w:r>
      <w:proofErr w:type="spellEnd"/>
      <w:r w:rsidR="0041320F">
        <w:rPr>
          <w:rFonts w:ascii="Segoe UI" w:hAnsi="Segoe UI" w:cs="Segoe UI"/>
          <w:color w:val="0D0D0D"/>
          <w:shd w:val="clear" w:color="auto" w:fill="FFFFFF"/>
        </w:rPr>
        <w:t xml:space="preserve"> and Roth, 2002). Prior studies have underscored the significance of considering the institutional environments of subsidiary locations during practice implementation (</w:t>
      </w:r>
      <w:proofErr w:type="spellStart"/>
      <w:r w:rsidR="0041320F">
        <w:rPr>
          <w:rFonts w:ascii="Segoe UI" w:hAnsi="Segoe UI" w:cs="Segoe UI"/>
          <w:color w:val="0D0D0D"/>
          <w:shd w:val="clear" w:color="auto" w:fill="FFFFFF"/>
        </w:rPr>
        <w:t>Björkman</w:t>
      </w:r>
      <w:proofErr w:type="spellEnd"/>
      <w:r w:rsidR="0041320F">
        <w:rPr>
          <w:rFonts w:ascii="Segoe UI" w:hAnsi="Segoe UI" w:cs="Segoe UI"/>
          <w:color w:val="0D0D0D"/>
          <w:shd w:val="clear" w:color="auto" w:fill="FFFFFF"/>
        </w:rPr>
        <w:t xml:space="preserve"> and </w:t>
      </w:r>
      <w:proofErr w:type="spellStart"/>
      <w:r w:rsidR="0041320F">
        <w:rPr>
          <w:rFonts w:ascii="Segoe UI" w:hAnsi="Segoe UI" w:cs="Segoe UI"/>
          <w:color w:val="0D0D0D"/>
          <w:shd w:val="clear" w:color="auto" w:fill="FFFFFF"/>
        </w:rPr>
        <w:t>Lervik</w:t>
      </w:r>
      <w:proofErr w:type="spellEnd"/>
      <w:r w:rsidR="0041320F">
        <w:rPr>
          <w:rFonts w:ascii="Segoe UI" w:hAnsi="Segoe UI" w:cs="Segoe UI"/>
          <w:color w:val="0D0D0D"/>
          <w:shd w:val="clear" w:color="auto" w:fill="FFFFFF"/>
        </w:rPr>
        <w:t>, 2007; Edwards et al., 2007). Nonetheless, it is essential to recognize that MNCs may not merely act as recipients influenced by local institutional pressures; they can also engage in innovative or disruptive forms of institutional work (Lawrence and Suddaby, 2006).</w:t>
      </w:r>
    </w:p>
    <w:p w14:paraId="654485B2" w14:textId="086F48B9" w:rsidR="00945CE8" w:rsidRPr="00945CE8" w:rsidRDefault="00945CE8" w:rsidP="00C752E0">
      <w:pPr>
        <w:spacing w:before="280" w:after="280" w:line="360" w:lineRule="auto"/>
        <w:jc w:val="both"/>
        <w:rPr>
          <w:rFonts w:eastAsia="TimesNewRomanPSMT" w:cstheme="minorHAnsi"/>
          <w:b/>
          <w:bCs/>
        </w:rPr>
      </w:pPr>
      <w:r w:rsidRPr="00945CE8">
        <w:rPr>
          <w:rFonts w:eastAsia="TimesNewRomanPSMT" w:cstheme="minorHAnsi"/>
          <w:b/>
          <w:bCs/>
        </w:rPr>
        <w:t>EDI Transfer</w:t>
      </w:r>
    </w:p>
    <w:p w14:paraId="29E7FAA7" w14:textId="21661BC8" w:rsidR="00E541D8" w:rsidRPr="00E541D8" w:rsidRDefault="00291166" w:rsidP="00C752E0">
      <w:pPr>
        <w:spacing w:before="280" w:after="280" w:line="360" w:lineRule="auto"/>
        <w:jc w:val="both"/>
        <w:rPr>
          <w:rFonts w:eastAsia="TimesNewRomanPSMT" w:cstheme="minorHAnsi"/>
        </w:rPr>
      </w:pPr>
      <w:r w:rsidRPr="00E541D8">
        <w:rPr>
          <w:rFonts w:eastAsia="TimesNewRomanPSMT" w:cstheme="minorHAnsi"/>
        </w:rPr>
        <w:t xml:space="preserve">Managing workforce diversity is argued to represent </w:t>
      </w:r>
      <w:r w:rsidR="00E13756" w:rsidRPr="00E541D8">
        <w:t>an integral part of human resource management</w:t>
      </w:r>
      <w:r w:rsidR="00FC479F" w:rsidRPr="00E541D8">
        <w:rPr>
          <w:rFonts w:eastAsia="TimesNewRomanPSMT" w:cstheme="minorHAnsi"/>
        </w:rPr>
        <w:t xml:space="preserve">, particularly in large and dispersed MNCs </w:t>
      </w:r>
      <w:r w:rsidR="00E13756" w:rsidRPr="00E541D8">
        <w:t>(</w:t>
      </w:r>
      <w:proofErr w:type="spellStart"/>
      <w:r w:rsidR="00E13756" w:rsidRPr="00E541D8">
        <w:rPr>
          <w:rFonts w:eastAsia="TimesNewRomanPSMT" w:cstheme="minorHAnsi"/>
          <w:kern w:val="0"/>
        </w:rPr>
        <w:t>Sippola</w:t>
      </w:r>
      <w:proofErr w:type="spellEnd"/>
      <w:r w:rsidR="00E13756" w:rsidRPr="00E541D8">
        <w:rPr>
          <w:rFonts w:eastAsia="TimesNewRomanPSMT" w:cstheme="minorHAnsi"/>
          <w:kern w:val="0"/>
        </w:rPr>
        <w:t xml:space="preserve"> </w:t>
      </w:r>
      <w:r w:rsidR="00E13756" w:rsidRPr="00E541D8">
        <w:rPr>
          <w:rFonts w:eastAsia="TimesNewRomanPSMT" w:cstheme="minorHAnsi"/>
        </w:rPr>
        <w:t xml:space="preserve">and </w:t>
      </w:r>
      <w:proofErr w:type="spellStart"/>
      <w:r w:rsidR="00E13756" w:rsidRPr="00E541D8">
        <w:rPr>
          <w:rFonts w:eastAsia="TimesNewRomanPSMT" w:cstheme="minorHAnsi"/>
          <w:kern w:val="0"/>
        </w:rPr>
        <w:t>Smale</w:t>
      </w:r>
      <w:proofErr w:type="spellEnd"/>
      <w:r w:rsidR="00E13756" w:rsidRPr="00E541D8">
        <w:rPr>
          <w:rFonts w:eastAsia="TimesNewRomanPSMT" w:cstheme="minorHAnsi"/>
          <w:kern w:val="0"/>
        </w:rPr>
        <w:t>, 2007; S</w:t>
      </w:r>
      <w:r w:rsidR="00E13756" w:rsidRPr="00E541D8">
        <w:t>yed and Özbilgin, 2009)</w:t>
      </w:r>
      <w:r w:rsidRPr="00E541D8">
        <w:rPr>
          <w:rFonts w:eastAsia="TimesNewRomanPSMT" w:cstheme="minorHAnsi"/>
        </w:rPr>
        <w:t xml:space="preserve">. </w:t>
      </w:r>
      <w:r w:rsidR="00EB75B1" w:rsidRPr="00E541D8">
        <w:rPr>
          <w:rFonts w:eastAsia="TimesNewRomanPSMT" w:cstheme="minorHAnsi"/>
        </w:rPr>
        <w:t xml:space="preserve">Workforce diversity is interpreted as differences in demographic (e.g. age, gender, race, ethnicity) or, more broadly, as all personal characteristics such as capabilities, </w:t>
      </w:r>
      <w:r w:rsidR="00EB75B1" w:rsidRPr="00E541D8">
        <w:rPr>
          <w:rFonts w:eastAsia="TimesNewRomanPSMT" w:cstheme="minorHAnsi"/>
        </w:rPr>
        <w:lastRenderedPageBreak/>
        <w:t xml:space="preserve">personality, sexual orientation, education, religion, culture, language, disability and working style (Cox, 1993) among employees (Chaudhry et al., 2021). </w:t>
      </w:r>
      <w:r w:rsidR="00FC479F" w:rsidRPr="00E541D8">
        <w:rPr>
          <w:rFonts w:eastAsia="TimesNewRomanPSMT" w:cstheme="minorHAnsi"/>
        </w:rPr>
        <w:t>Originating from the USA, Equality, Diversity, and Inclusion (EDI) as a management concept has travelled around the globe</w:t>
      </w:r>
      <w:r w:rsidR="00FC479F" w:rsidRPr="00E541D8">
        <w:rPr>
          <w:rFonts w:cstheme="minorHAnsi"/>
        </w:rPr>
        <w:t xml:space="preserve"> especially by means of such MNCs since the late early 2000s (</w:t>
      </w:r>
      <w:proofErr w:type="spellStart"/>
      <w:r w:rsidR="00FC479F" w:rsidRPr="00E541D8">
        <w:rPr>
          <w:rFonts w:cstheme="minorHAnsi"/>
        </w:rPr>
        <w:t>Ferner</w:t>
      </w:r>
      <w:proofErr w:type="spellEnd"/>
      <w:r w:rsidR="00FC479F" w:rsidRPr="00E541D8">
        <w:rPr>
          <w:rFonts w:cstheme="minorHAnsi"/>
        </w:rPr>
        <w:t xml:space="preserve"> et al.</w:t>
      </w:r>
      <w:r w:rsidR="00E541D8">
        <w:rPr>
          <w:rFonts w:cstheme="minorHAnsi"/>
        </w:rPr>
        <w:t>,</w:t>
      </w:r>
      <w:r w:rsidR="00FC479F" w:rsidRPr="00E541D8">
        <w:rPr>
          <w:rFonts w:cstheme="minorHAnsi"/>
        </w:rPr>
        <w:t xml:space="preserve"> 2005; Bader et al., 2022; Hilger et al. 2023). </w:t>
      </w:r>
      <w:r w:rsidR="00861714" w:rsidRPr="00E541D8">
        <w:rPr>
          <w:rFonts w:cstheme="minorHAnsi"/>
        </w:rPr>
        <w:t xml:space="preserve">It has </w:t>
      </w:r>
      <w:r w:rsidR="00E13756" w:rsidRPr="00E541D8">
        <w:rPr>
          <w:rFonts w:cstheme="minorHAnsi"/>
        </w:rPr>
        <w:t>its</w:t>
      </w:r>
      <w:r w:rsidR="00861714" w:rsidRPr="00E541D8">
        <w:rPr>
          <w:rFonts w:cstheme="minorHAnsi"/>
        </w:rPr>
        <w:t xml:space="preserve"> origins in Diversity management as a business strategy (Thomas, 1991) that includes “specific policies and programs to enhance recruitment, inclusion, promotion, and retention of employees who are different from the majority of an organization’s workforce” (</w:t>
      </w:r>
      <w:proofErr w:type="spellStart"/>
      <w:r w:rsidR="00861714" w:rsidRPr="00E541D8">
        <w:rPr>
          <w:rFonts w:cstheme="minorHAnsi"/>
        </w:rPr>
        <w:t>Mor</w:t>
      </w:r>
      <w:proofErr w:type="spellEnd"/>
      <w:r w:rsidR="00861714" w:rsidRPr="00E541D8">
        <w:rPr>
          <w:rFonts w:cstheme="minorHAnsi"/>
        </w:rPr>
        <w:t xml:space="preserve"> Barak et al., 2016, p. 308). </w:t>
      </w:r>
      <w:r w:rsidR="00C55917" w:rsidRPr="00E541D8">
        <w:rPr>
          <w:rFonts w:cstheme="minorHAnsi"/>
        </w:rPr>
        <w:t xml:space="preserve">For </w:t>
      </w:r>
      <w:r w:rsidR="000D3A89" w:rsidRPr="00E541D8">
        <w:rPr>
          <w:rFonts w:cstheme="minorHAnsi"/>
        </w:rPr>
        <w:t>MNCs</w:t>
      </w:r>
      <w:r w:rsidR="00F07B61" w:rsidRPr="00E541D8">
        <w:rPr>
          <w:rFonts w:cstheme="minorHAnsi"/>
        </w:rPr>
        <w:t>,</w:t>
      </w:r>
      <w:r w:rsidR="000D3A89" w:rsidRPr="00E541D8">
        <w:rPr>
          <w:rFonts w:cstheme="minorHAnsi"/>
        </w:rPr>
        <w:t xml:space="preserve"> the question arises of how they deal with </w:t>
      </w:r>
      <w:r w:rsidR="00CC1FA1" w:rsidRPr="00E541D8">
        <w:rPr>
          <w:rFonts w:cstheme="minorHAnsi"/>
        </w:rPr>
        <w:t xml:space="preserve">workforce </w:t>
      </w:r>
      <w:r w:rsidR="000D3A89" w:rsidRPr="00E541D8">
        <w:rPr>
          <w:rFonts w:cstheme="minorHAnsi"/>
        </w:rPr>
        <w:t>diversity at home and abroad and whether there are differences between headquarters and foreign subsidiaries</w:t>
      </w:r>
      <w:r w:rsidR="00CD02C6" w:rsidRPr="00E541D8">
        <w:rPr>
          <w:rFonts w:cstheme="minorHAnsi"/>
        </w:rPr>
        <w:t xml:space="preserve">. </w:t>
      </w:r>
      <w:r w:rsidR="00E13756" w:rsidRPr="00E541D8">
        <w:rPr>
          <w:rFonts w:cstheme="minorHAnsi"/>
        </w:rPr>
        <w:t xml:space="preserve">Both may be subject to very different local contexts, even though both are part of the same </w:t>
      </w:r>
      <w:r w:rsidR="00E13756" w:rsidRPr="00E541D8">
        <w:rPr>
          <w:rFonts w:eastAsia="TimesNewRomanPSMT" w:cstheme="minorHAnsi"/>
        </w:rPr>
        <w:t>multinational organisation (</w:t>
      </w:r>
      <w:proofErr w:type="spellStart"/>
      <w:r w:rsidR="00E13756" w:rsidRPr="00E541D8">
        <w:rPr>
          <w:rFonts w:eastAsia="TimesNewRomanPSMT" w:cstheme="minorHAnsi"/>
        </w:rPr>
        <w:t>Ferner</w:t>
      </w:r>
      <w:proofErr w:type="spellEnd"/>
      <w:r w:rsidR="00E13756" w:rsidRPr="00E541D8">
        <w:rPr>
          <w:rFonts w:eastAsia="TimesNewRomanPSMT" w:cstheme="minorHAnsi"/>
        </w:rPr>
        <w:t xml:space="preserve"> et al., 2005). Consequently, Equality, Diversity, and Inclusion (EDI) practices will critically differ depending on the</w:t>
      </w:r>
      <w:r w:rsidR="00E13756" w:rsidRPr="00E541D8">
        <w:rPr>
          <w:rFonts w:ascii="Calibri" w:hAnsi="Calibri" w:cs="Calibri"/>
          <w:color w:val="000000"/>
        </w:rPr>
        <w:t xml:space="preserve"> country context where those practices are performed or transferred to (</w:t>
      </w:r>
      <w:proofErr w:type="spellStart"/>
      <w:r w:rsidR="00B758AA" w:rsidRPr="00E541D8">
        <w:rPr>
          <w:rFonts w:eastAsia="TimesNewRomanPSMT" w:cstheme="minorHAnsi"/>
        </w:rPr>
        <w:t>Peretz</w:t>
      </w:r>
      <w:proofErr w:type="spellEnd"/>
      <w:r w:rsidR="00B758AA" w:rsidRPr="00E541D8">
        <w:rPr>
          <w:rFonts w:eastAsia="TimesNewRomanPSMT" w:cstheme="minorHAnsi"/>
        </w:rPr>
        <w:t xml:space="preserve"> et al., 2015; </w:t>
      </w:r>
      <w:r w:rsidR="00E13756" w:rsidRPr="00E541D8">
        <w:rPr>
          <w:rFonts w:ascii="Calibri" w:hAnsi="Calibri" w:cs="Calibri"/>
          <w:color w:val="000000"/>
        </w:rPr>
        <w:t xml:space="preserve">Bader et al. 2022; </w:t>
      </w:r>
      <w:r w:rsidR="00E13756" w:rsidRPr="00E541D8">
        <w:rPr>
          <w:rFonts w:eastAsia="TimesNewRomanPSMT" w:cstheme="minorHAnsi"/>
        </w:rPr>
        <w:t xml:space="preserve">Hilger et al., 2023). Thus, </w:t>
      </w:r>
      <w:r w:rsidR="001F11AC" w:rsidRPr="00E541D8">
        <w:t>due to cross-national differences and local sensitivities,</w:t>
      </w:r>
      <w:r w:rsidR="001F11AC" w:rsidRPr="00E541D8">
        <w:rPr>
          <w:rFonts w:eastAsia="TimesNewRomanPSMT" w:cstheme="minorHAnsi"/>
        </w:rPr>
        <w:t xml:space="preserve"> </w:t>
      </w:r>
      <w:r w:rsidR="00E13756" w:rsidRPr="00E541D8">
        <w:rPr>
          <w:rFonts w:eastAsia="TimesNewRomanPSMT" w:cstheme="minorHAnsi"/>
        </w:rPr>
        <w:t>the successful transfer of EDI practices needs to take contextual differences between headquarters and subsidiary institutional environment into account</w:t>
      </w:r>
      <w:r w:rsidR="001F11AC" w:rsidRPr="00E541D8">
        <w:t xml:space="preserve"> and EDI often becomes context specific </w:t>
      </w:r>
      <w:r w:rsidR="00E13756" w:rsidRPr="00E541D8">
        <w:rPr>
          <w:rFonts w:eastAsia="TimesNewRomanPSMT" w:cstheme="minorHAnsi"/>
        </w:rPr>
        <w:t>(</w:t>
      </w:r>
      <w:proofErr w:type="spellStart"/>
      <w:r w:rsidR="00E13756" w:rsidRPr="00E541D8">
        <w:rPr>
          <w:rFonts w:eastAsia="TimesNewRomanPSMT" w:cstheme="minorHAnsi"/>
        </w:rPr>
        <w:t>Hennekam</w:t>
      </w:r>
      <w:proofErr w:type="spellEnd"/>
      <w:r w:rsidR="00E13756" w:rsidRPr="00E541D8">
        <w:rPr>
          <w:rFonts w:eastAsia="TimesNewRomanPSMT" w:cstheme="minorHAnsi"/>
        </w:rPr>
        <w:t xml:space="preserve"> et al., 2017; </w:t>
      </w:r>
      <w:proofErr w:type="spellStart"/>
      <w:r w:rsidR="00E13756" w:rsidRPr="00E541D8">
        <w:rPr>
          <w:rFonts w:eastAsia="TimesNewRomanPSMT" w:cstheme="minorHAnsi"/>
        </w:rPr>
        <w:t>Tsui</w:t>
      </w:r>
      <w:proofErr w:type="spellEnd"/>
      <w:r w:rsidR="00E13756" w:rsidRPr="00E541D8">
        <w:rPr>
          <w:rFonts w:eastAsia="TimesNewRomanPSMT" w:cstheme="minorHAnsi"/>
        </w:rPr>
        <w:t>-Auch and Chow, 2019</w:t>
      </w:r>
      <w:r w:rsidR="001F11AC" w:rsidRPr="00E541D8">
        <w:rPr>
          <w:rFonts w:eastAsia="TimesNewRomanPSMT" w:cstheme="minorHAnsi"/>
        </w:rPr>
        <w:t xml:space="preserve">; </w:t>
      </w:r>
      <w:proofErr w:type="spellStart"/>
      <w:r w:rsidR="001F11AC" w:rsidRPr="00E541D8">
        <w:t>Erdur</w:t>
      </w:r>
      <w:proofErr w:type="spellEnd"/>
      <w:r w:rsidR="001F11AC" w:rsidRPr="00E541D8">
        <w:t>, 2020</w:t>
      </w:r>
      <w:r w:rsidR="00E13756" w:rsidRPr="00E541D8">
        <w:rPr>
          <w:rFonts w:eastAsia="TimesNewRomanPSMT" w:cstheme="minorHAnsi"/>
        </w:rPr>
        <w:t xml:space="preserve">). </w:t>
      </w:r>
      <w:r w:rsidR="00647587" w:rsidRPr="00E541D8">
        <w:t>The pressures to comply with institutional expectations of diversity may differ immensely between advanced and emerging or developing economies (</w:t>
      </w:r>
      <w:proofErr w:type="spellStart"/>
      <w:r w:rsidR="00647587" w:rsidRPr="00E541D8">
        <w:t>Küskü</w:t>
      </w:r>
      <w:proofErr w:type="spellEnd"/>
      <w:r w:rsidR="00647587" w:rsidRPr="00E541D8">
        <w:t xml:space="preserve"> </w:t>
      </w:r>
      <w:r w:rsidR="00647587" w:rsidRPr="00E541D8">
        <w:rPr>
          <w:i/>
          <w:iCs/>
        </w:rPr>
        <w:t>et al.</w:t>
      </w:r>
      <w:r w:rsidR="00647587" w:rsidRPr="00E541D8">
        <w:t xml:space="preserve">, 2021). </w:t>
      </w:r>
      <w:r w:rsidR="00E13756" w:rsidRPr="00E541D8">
        <w:rPr>
          <w:rFonts w:eastAsia="TimesNewRomanPSMT" w:cstheme="minorHAnsi"/>
        </w:rPr>
        <w:t>Particularly contexts where diversity is less welcome</w:t>
      </w:r>
      <w:r w:rsidR="00945CE8">
        <w:rPr>
          <w:rFonts w:eastAsia="TimesNewRomanPSMT" w:cstheme="minorHAnsi"/>
        </w:rPr>
        <w:t>, for example Northern Africa,</w:t>
      </w:r>
      <w:r w:rsidR="00E13756" w:rsidRPr="00E541D8">
        <w:rPr>
          <w:rFonts w:eastAsia="TimesNewRomanPSMT" w:cstheme="minorHAnsi"/>
        </w:rPr>
        <w:t xml:space="preserve"> may pose a threat to an unadjusted transfer of EDI practices (</w:t>
      </w:r>
      <w:proofErr w:type="spellStart"/>
      <w:r w:rsidR="00E13756" w:rsidRPr="00E541D8">
        <w:rPr>
          <w:rFonts w:eastAsia="TimesNewRomanPSMT" w:cstheme="minorHAnsi"/>
        </w:rPr>
        <w:t>Hennekam</w:t>
      </w:r>
      <w:proofErr w:type="spellEnd"/>
      <w:r w:rsidR="00E13756" w:rsidRPr="00E541D8">
        <w:rPr>
          <w:rFonts w:eastAsia="TimesNewRomanPSMT" w:cstheme="minorHAnsi"/>
        </w:rPr>
        <w:t xml:space="preserve"> et al., 2017). </w:t>
      </w:r>
      <w:r w:rsidR="00C752E0" w:rsidRPr="00E541D8">
        <w:rPr>
          <w:rFonts w:eastAsia="TimesNewRomanPSMT" w:cstheme="minorHAnsi"/>
        </w:rPr>
        <w:t xml:space="preserve">However, EDI practices within globally dispersed MNCs remain under-researched (Cooke et al., 2019). </w:t>
      </w:r>
      <w:r w:rsidR="00FE6B43" w:rsidRPr="00E541D8">
        <w:rPr>
          <w:rFonts w:eastAsia="TimesNewRomanPSMT" w:cstheme="minorHAnsi"/>
        </w:rPr>
        <w:t xml:space="preserve">While </w:t>
      </w:r>
      <w:r w:rsidR="00E13756" w:rsidRPr="00E541D8">
        <w:rPr>
          <w:rFonts w:eastAsia="TimesNewRomanPSMT" w:cstheme="minorHAnsi"/>
        </w:rPr>
        <w:t>early</w:t>
      </w:r>
      <w:r w:rsidR="00E40496" w:rsidRPr="00E541D8">
        <w:rPr>
          <w:rFonts w:eastAsia="TimesNewRomanPSMT" w:cstheme="minorHAnsi"/>
        </w:rPr>
        <w:t xml:space="preserve"> research</w:t>
      </w:r>
      <w:r w:rsidR="00E13756" w:rsidRPr="00E541D8">
        <w:rPr>
          <w:rFonts w:eastAsia="TimesNewRomanPSMT" w:cstheme="minorHAnsi"/>
        </w:rPr>
        <w:t xml:space="preserve"> in the field</w:t>
      </w:r>
      <w:r w:rsidR="00E40496" w:rsidRPr="00E541D8">
        <w:rPr>
          <w:rFonts w:eastAsia="TimesNewRomanPSMT" w:cstheme="minorHAnsi"/>
        </w:rPr>
        <w:t xml:space="preserve"> has </w:t>
      </w:r>
      <w:r w:rsidR="00FE6B43" w:rsidRPr="00E541D8">
        <w:rPr>
          <w:rFonts w:eastAsia="TimesNewRomanPSMT" w:cstheme="minorHAnsi"/>
        </w:rPr>
        <w:t xml:space="preserve">primarily focused on the international diversity activities of North American MNCs (e.g. </w:t>
      </w:r>
      <w:proofErr w:type="spellStart"/>
      <w:r w:rsidR="00FE6B43" w:rsidRPr="00E541D8">
        <w:rPr>
          <w:rFonts w:eastAsia="TimesNewRomanPSMT" w:cstheme="minorHAnsi"/>
        </w:rPr>
        <w:t>Ferner</w:t>
      </w:r>
      <w:proofErr w:type="spellEnd"/>
      <w:r w:rsidR="00FE6B43" w:rsidRPr="00E541D8">
        <w:rPr>
          <w:rFonts w:eastAsia="TimesNewRomanPSMT" w:cstheme="minorHAnsi"/>
        </w:rPr>
        <w:t xml:space="preserve"> et al., 2005), more recent research also </w:t>
      </w:r>
      <w:r w:rsidR="00E40496" w:rsidRPr="00E541D8">
        <w:rPr>
          <w:rFonts w:eastAsia="TimesNewRomanPSMT" w:cstheme="minorHAnsi"/>
        </w:rPr>
        <w:t>provide</w:t>
      </w:r>
      <w:r w:rsidR="00FE6B43" w:rsidRPr="00E541D8">
        <w:rPr>
          <w:rFonts w:eastAsia="TimesNewRomanPSMT" w:cstheme="minorHAnsi"/>
        </w:rPr>
        <w:t>s</w:t>
      </w:r>
      <w:r w:rsidR="00E40496" w:rsidRPr="00E541D8">
        <w:rPr>
          <w:rFonts w:eastAsia="TimesNewRomanPSMT" w:cstheme="minorHAnsi"/>
        </w:rPr>
        <w:t xml:space="preserve"> insights into the transfer of DEI practices within MNCs </w:t>
      </w:r>
      <w:r w:rsidR="00FE6B43" w:rsidRPr="00E541D8">
        <w:rPr>
          <w:rFonts w:eastAsia="TimesNewRomanPSMT" w:cstheme="minorHAnsi"/>
        </w:rPr>
        <w:t xml:space="preserve">from Europe and Asia </w:t>
      </w:r>
      <w:r w:rsidR="00E40496" w:rsidRPr="00E541D8">
        <w:rPr>
          <w:rFonts w:eastAsia="TimesNewRomanPSMT" w:cstheme="minorHAnsi"/>
        </w:rPr>
        <w:t xml:space="preserve">(Bader et al., 2022). </w:t>
      </w:r>
      <w:proofErr w:type="spellStart"/>
      <w:r w:rsidR="0093443F" w:rsidRPr="0093443F">
        <w:rPr>
          <w:rFonts w:eastAsia="TimesNewRomanPSMT" w:cstheme="minorHAnsi"/>
        </w:rPr>
        <w:t>Ferner</w:t>
      </w:r>
      <w:proofErr w:type="spellEnd"/>
      <w:r w:rsidR="0093443F" w:rsidRPr="0093443F">
        <w:rPr>
          <w:rFonts w:eastAsia="TimesNewRomanPSMT" w:cstheme="minorHAnsi"/>
        </w:rPr>
        <w:t xml:space="preserve"> et al. (2005) delved into the experiences of six US-based MNEs striving to implement their diversity policies within their UK subsidiaries. The study unveiled a consistent pattern of incomplete policy transfers. The researchers attributed this phenomenon to the complex institutional context marked by dual challenges in the realm of diversity. These challenges were twofold: the variations in diversity frameworks across distinct countries and the contentious nature of diversity during that particular period, even within the United States. Further insights underscored the influence of broader country-level institutional contexts. Miah et al. (2022) </w:t>
      </w:r>
      <w:r w:rsidR="0093443F" w:rsidRPr="0093443F">
        <w:rPr>
          <w:rFonts w:eastAsia="TimesNewRomanPSMT" w:cstheme="minorHAnsi"/>
        </w:rPr>
        <w:lastRenderedPageBreak/>
        <w:t>explore HR management practices of foreign manufacturing companies in Bangladesh. Their findings suggest that adapting practices to local norms, investing in employee development, and fostering local talent can enhance the transfer and effectiveness of EDI practices.</w:t>
      </w:r>
      <w:r w:rsidR="0093443F">
        <w:rPr>
          <w:rFonts w:eastAsia="TimesNewRomanPSMT" w:cstheme="minorHAnsi"/>
        </w:rPr>
        <w:t xml:space="preserve"> </w:t>
      </w:r>
      <w:r w:rsidR="00FE6B43" w:rsidRPr="00E541D8">
        <w:rPr>
          <w:rFonts w:eastAsia="TimesNewRomanPSMT" w:cstheme="minorHAnsi"/>
        </w:rPr>
        <w:t xml:space="preserve">However, </w:t>
      </w:r>
      <w:r w:rsidR="00B758AA" w:rsidRPr="00E541D8">
        <w:rPr>
          <w:rFonts w:eastAsia="TimesNewRomanPSMT" w:cstheme="minorHAnsi"/>
        </w:rPr>
        <w:t>apart from select studies focusing on North Africa (</w:t>
      </w:r>
      <w:proofErr w:type="spellStart"/>
      <w:r w:rsidR="00B758AA" w:rsidRPr="00E541D8">
        <w:rPr>
          <w:rFonts w:eastAsia="TimesNewRomanPSMT" w:cstheme="minorHAnsi"/>
        </w:rPr>
        <w:t>Hennekam</w:t>
      </w:r>
      <w:proofErr w:type="spellEnd"/>
      <w:r w:rsidR="00B758AA" w:rsidRPr="00E541D8">
        <w:rPr>
          <w:rFonts w:eastAsia="TimesNewRomanPSMT" w:cstheme="minorHAnsi"/>
        </w:rPr>
        <w:t xml:space="preserve"> et al., 2017) or China (Tang et al. 2015), </w:t>
      </w:r>
      <w:r w:rsidR="00FE6B43" w:rsidRPr="00E541D8">
        <w:rPr>
          <w:rFonts w:eastAsia="TimesNewRomanPSMT" w:cstheme="minorHAnsi"/>
        </w:rPr>
        <w:t xml:space="preserve">far less information is given about </w:t>
      </w:r>
      <w:r w:rsidR="00945CE8">
        <w:rPr>
          <w:rFonts w:eastAsia="TimesNewRomanPSMT" w:cstheme="minorHAnsi"/>
        </w:rPr>
        <w:t>emerging</w:t>
      </w:r>
      <w:r w:rsidR="00FE6B43" w:rsidRPr="00E541D8">
        <w:rPr>
          <w:rFonts w:eastAsia="TimesNewRomanPSMT" w:cstheme="minorHAnsi"/>
        </w:rPr>
        <w:t xml:space="preserve"> transfer targets. </w:t>
      </w:r>
      <w:r w:rsidR="00550542" w:rsidRPr="00E541D8">
        <w:rPr>
          <w:rFonts w:eastAsia="TimesNewRomanPSMT" w:cstheme="minorHAnsi"/>
        </w:rPr>
        <w:t>Particularly evident however, is a research gap regarding Central and Eastern Europe as a transfer target.</w:t>
      </w:r>
    </w:p>
    <w:p w14:paraId="478D6C23" w14:textId="78B374AB" w:rsidR="001B05FC" w:rsidRPr="00E541D8" w:rsidRDefault="001B05FC" w:rsidP="00C752E0">
      <w:pPr>
        <w:spacing w:before="280" w:after="280" w:line="360" w:lineRule="auto"/>
        <w:jc w:val="both"/>
        <w:rPr>
          <w:rFonts w:eastAsia="TimesNewRomanPSMT" w:cstheme="minorHAnsi"/>
          <w:b/>
          <w:bCs/>
        </w:rPr>
      </w:pPr>
      <w:r w:rsidRPr="00E541D8">
        <w:rPr>
          <w:rFonts w:eastAsia="TimesNewRomanPSMT" w:cstheme="minorHAnsi"/>
          <w:b/>
          <w:bCs/>
        </w:rPr>
        <w:t>EDI in CEE</w:t>
      </w:r>
    </w:p>
    <w:p w14:paraId="295C1F8A" w14:textId="2E21925A" w:rsidR="005D70FB" w:rsidRPr="00E541D8" w:rsidRDefault="00C646C6" w:rsidP="005D70FB">
      <w:pPr>
        <w:spacing w:line="360" w:lineRule="auto"/>
        <w:jc w:val="both"/>
      </w:pPr>
      <w:r w:rsidRPr="00E541D8">
        <w:rPr>
          <w:rFonts w:eastAsia="TimesNewRomanPSMT" w:cstheme="minorHAnsi"/>
        </w:rPr>
        <w:t xml:space="preserve">While </w:t>
      </w:r>
      <w:r w:rsidR="00550542" w:rsidRPr="00E541D8">
        <w:rPr>
          <w:rFonts w:eastAsia="TimesNewRomanPSMT" w:cstheme="minorHAnsi"/>
        </w:rPr>
        <w:t>during socialist times</w:t>
      </w:r>
      <w:r w:rsidR="00F74B4C" w:rsidRPr="00E541D8">
        <w:rPr>
          <w:rFonts w:eastAsia="TimesNewRomanPSMT" w:cstheme="minorHAnsi"/>
        </w:rPr>
        <w:t>,</w:t>
      </w:r>
      <w:r w:rsidR="00550542" w:rsidRPr="00E541D8">
        <w:rPr>
          <w:rFonts w:eastAsia="TimesNewRomanPSMT" w:cstheme="minorHAnsi"/>
        </w:rPr>
        <w:t xml:space="preserve"> female representation, for example, was superior to the West, the CEE countries have taken different directions regarding diversity legislation, activism and acceptance resulting in distinct national pressures on local companies (Metcalfe and </w:t>
      </w:r>
      <w:proofErr w:type="spellStart"/>
      <w:r w:rsidR="00550542" w:rsidRPr="00E541D8">
        <w:rPr>
          <w:rFonts w:eastAsia="TimesNewRomanPSMT" w:cstheme="minorHAnsi"/>
        </w:rPr>
        <w:t>Afaniesseva</w:t>
      </w:r>
      <w:proofErr w:type="spellEnd"/>
      <w:r w:rsidR="00550542" w:rsidRPr="00E541D8">
        <w:rPr>
          <w:rFonts w:eastAsia="TimesNewRomanPSMT" w:cstheme="minorHAnsi"/>
        </w:rPr>
        <w:t xml:space="preserve">, 2020; </w:t>
      </w:r>
      <w:proofErr w:type="spellStart"/>
      <w:r w:rsidR="00550542" w:rsidRPr="00E541D8">
        <w:rPr>
          <w:rFonts w:eastAsia="TimesNewRomanPSMT" w:cstheme="minorHAnsi"/>
        </w:rPr>
        <w:t>Buyantueva</w:t>
      </w:r>
      <w:proofErr w:type="spellEnd"/>
      <w:r w:rsidR="00550542" w:rsidRPr="00E541D8">
        <w:rPr>
          <w:rFonts w:eastAsia="TimesNewRomanPSMT" w:cstheme="minorHAnsi"/>
        </w:rPr>
        <w:t xml:space="preserve"> and </w:t>
      </w:r>
      <w:proofErr w:type="spellStart"/>
      <w:r w:rsidR="00550542" w:rsidRPr="00E541D8">
        <w:rPr>
          <w:rFonts w:eastAsia="TimesNewRomanPSMT" w:cstheme="minorHAnsi"/>
        </w:rPr>
        <w:t>Shevtsova</w:t>
      </w:r>
      <w:proofErr w:type="spellEnd"/>
      <w:r w:rsidR="00550542" w:rsidRPr="00E541D8">
        <w:rPr>
          <w:rFonts w:eastAsia="TimesNewRomanPSMT" w:cstheme="minorHAnsi"/>
        </w:rPr>
        <w:t>, 2020). This is particularly evident in local topics of diversity, such as gender roles, same-sex marriage, or abortion self-determination (Morley et al., 2016), accompanied by prevailing xenophobia (Kalmar, 2018)</w:t>
      </w:r>
      <w:r w:rsidR="0083204E" w:rsidRPr="00E541D8">
        <w:rPr>
          <w:rFonts w:eastAsia="TimesNewRomanPSMT" w:cstheme="minorHAnsi"/>
        </w:rPr>
        <w:t xml:space="preserve"> and generally lower openness towards diversity (Nemeth et al., 2020) </w:t>
      </w:r>
      <w:r w:rsidR="00550542" w:rsidRPr="00E541D8">
        <w:rPr>
          <w:rFonts w:eastAsia="TimesNewRomanPSMT" w:cstheme="minorHAnsi"/>
        </w:rPr>
        <w:t xml:space="preserve"> </w:t>
      </w:r>
      <w:r w:rsidRPr="00E541D8">
        <w:rPr>
          <w:rFonts w:eastAsia="TimesNewRomanPSMT" w:cstheme="minorHAnsi"/>
        </w:rPr>
        <w:t>Such</w:t>
      </w:r>
      <w:r w:rsidR="00EB75B1" w:rsidRPr="00E541D8">
        <w:rPr>
          <w:rFonts w:eastAsia="TimesNewRomanPSMT" w:cstheme="minorHAnsi"/>
        </w:rPr>
        <w:t xml:space="preserve"> non-compliance to Western </w:t>
      </w:r>
      <w:r w:rsidR="00E13756" w:rsidRPr="00E541D8">
        <w:rPr>
          <w:rFonts w:eastAsia="TimesNewRomanPSMT" w:cstheme="minorHAnsi"/>
        </w:rPr>
        <w:t>EDI ideals results in</w:t>
      </w:r>
      <w:r w:rsidR="00EB75B1" w:rsidRPr="00E541D8">
        <w:rPr>
          <w:rFonts w:eastAsia="TimesNewRomanPSMT" w:cstheme="minorHAnsi"/>
        </w:rPr>
        <w:t xml:space="preserve"> what </w:t>
      </w:r>
      <w:proofErr w:type="spellStart"/>
      <w:r w:rsidR="00EB75B1" w:rsidRPr="00E541D8">
        <w:rPr>
          <w:rFonts w:eastAsia="TimesNewRomanPSMT" w:cstheme="minorHAnsi"/>
        </w:rPr>
        <w:t>Kulpa</w:t>
      </w:r>
      <w:proofErr w:type="spellEnd"/>
      <w:r w:rsidR="00EB75B1" w:rsidRPr="00E541D8">
        <w:rPr>
          <w:rFonts w:eastAsia="TimesNewRomanPSMT" w:cstheme="minorHAnsi"/>
        </w:rPr>
        <w:t xml:space="preserve"> </w:t>
      </w:r>
      <w:r w:rsidR="00647587" w:rsidRPr="00E541D8">
        <w:rPr>
          <w:rFonts w:eastAsia="TimesNewRomanPSMT" w:cstheme="minorHAnsi"/>
        </w:rPr>
        <w:t xml:space="preserve">(2014, p. 432) </w:t>
      </w:r>
      <w:r w:rsidR="00EB75B1" w:rsidRPr="00E541D8">
        <w:rPr>
          <w:rFonts w:eastAsia="TimesNewRomanPSMT" w:cstheme="minorHAnsi"/>
        </w:rPr>
        <w:t xml:space="preserve">calls leveraged pedagogy </w:t>
      </w:r>
      <w:r w:rsidRPr="00E541D8">
        <w:rPr>
          <w:rFonts w:eastAsia="TimesNewRomanPSMT" w:cstheme="minorHAnsi"/>
        </w:rPr>
        <w:t>where “the West” engages in</w:t>
      </w:r>
      <w:r w:rsidR="00E13756" w:rsidRPr="00E541D8">
        <w:rPr>
          <w:rFonts w:eastAsia="TimesNewRomanPSMT" w:cstheme="minorHAnsi"/>
        </w:rPr>
        <w:t xml:space="preserve"> </w:t>
      </w:r>
      <w:r w:rsidR="00EB75B1" w:rsidRPr="00E541D8">
        <w:rPr>
          <w:rFonts w:eastAsia="TimesNewRomanPSMT" w:cstheme="minorHAnsi"/>
        </w:rPr>
        <w:t xml:space="preserve">“a hegemonic didactical relation where the </w:t>
      </w:r>
      <w:r w:rsidR="00E13756" w:rsidRPr="00E541D8">
        <w:rPr>
          <w:rFonts w:eastAsia="TimesNewRomanPSMT" w:cstheme="minorHAnsi"/>
        </w:rPr>
        <w:t xml:space="preserve">CEE </w:t>
      </w:r>
      <w:r w:rsidR="00EB75B1" w:rsidRPr="00E541D8">
        <w:rPr>
          <w:rFonts w:eastAsia="TimesNewRomanPSMT" w:cstheme="minorHAnsi"/>
        </w:rPr>
        <w:t>figures as an object of the Western ‘pedagogy’, and is framed as permanently ‘post-communist’, ‘in transition’, and homophobic.”</w:t>
      </w:r>
      <w:r w:rsidR="00E13756" w:rsidRPr="00E541D8">
        <w:rPr>
          <w:rFonts w:eastAsia="TimesNewRomanPSMT" w:cstheme="minorHAnsi"/>
        </w:rPr>
        <w:t xml:space="preserve"> </w:t>
      </w:r>
      <w:r w:rsidR="00647587" w:rsidRPr="00E541D8">
        <w:t xml:space="preserve">In such contexts which are less welcoming to diversity, research has shown that companies may deliberately choose not to disclose information, to avoid backlashes (Chow, 2021). </w:t>
      </w:r>
      <w:r w:rsidR="00EB75B1" w:rsidRPr="00E541D8">
        <w:t>In contrast,</w:t>
      </w:r>
      <w:r w:rsidR="00E13756" w:rsidRPr="00E541D8">
        <w:t xml:space="preserve"> or as a result</w:t>
      </w:r>
      <w:r w:rsidR="00550542" w:rsidRPr="00E541D8">
        <w:t xml:space="preserve">, MNEs from CEE are continuously putting efforts into westernizing their business practices, partially emulating the US and Western-European companies, where diversity management is an integral part of human resource management (Hilger et al. 2023; </w:t>
      </w:r>
      <w:proofErr w:type="spellStart"/>
      <w:r w:rsidR="00550542" w:rsidRPr="00E541D8">
        <w:t>Latukha</w:t>
      </w:r>
      <w:proofErr w:type="spellEnd"/>
      <w:r w:rsidR="00550542" w:rsidRPr="00E541D8">
        <w:t xml:space="preserve"> and </w:t>
      </w:r>
      <w:proofErr w:type="spellStart"/>
      <w:r w:rsidR="00550542" w:rsidRPr="00E541D8">
        <w:t>Malko</w:t>
      </w:r>
      <w:proofErr w:type="spellEnd"/>
      <w:r w:rsidR="00550542" w:rsidRPr="00E541D8">
        <w:t xml:space="preserve">, 2019), </w:t>
      </w:r>
      <w:r w:rsidR="00E13756" w:rsidRPr="00E541D8">
        <w:t xml:space="preserve">due to the globalisation of management practices and an increasing focus on competition for human resources. </w:t>
      </w:r>
      <w:r w:rsidR="00550542" w:rsidRPr="00E541D8">
        <w:t xml:space="preserve">With these supposedly progressive western approaches, MNEs hope to attract investors, global customers, and employees (Carrillo </w:t>
      </w:r>
      <w:proofErr w:type="spellStart"/>
      <w:r w:rsidR="00550542" w:rsidRPr="00E541D8">
        <w:t>Arciniega</w:t>
      </w:r>
      <w:proofErr w:type="spellEnd"/>
      <w:r w:rsidR="00E541D8" w:rsidRPr="00E541D8">
        <w:t>,</w:t>
      </w:r>
      <w:r w:rsidR="00550542" w:rsidRPr="00E541D8">
        <w:t xml:space="preserve"> 2021). Globalization and the internationalization of domestic companies as well as the market entries of foreign MNCs may affect the way societies perceive and experience diversity with increased exposure to international cultures and values (Hilger et al. 2023; Engle et al. 2020).</w:t>
      </w:r>
      <w:r w:rsidR="00647587" w:rsidRPr="00E541D8">
        <w:rPr>
          <w:rFonts w:eastAsia="TimesNewRomanPSMT" w:cstheme="minorHAnsi"/>
        </w:rPr>
        <w:t xml:space="preserve"> </w:t>
      </w:r>
      <w:r w:rsidRPr="00E541D8">
        <w:t>This tension</w:t>
      </w:r>
      <w:r w:rsidR="00550542" w:rsidRPr="00E541D8">
        <w:t xml:space="preserve"> </w:t>
      </w:r>
      <w:r w:rsidR="00F74B4C" w:rsidRPr="00E541D8">
        <w:t xml:space="preserve">between emic and etic views on EDI </w:t>
      </w:r>
      <w:r w:rsidR="00550542" w:rsidRPr="00E541D8">
        <w:t>highlight</w:t>
      </w:r>
      <w:r w:rsidR="00F74B4C" w:rsidRPr="00E541D8">
        <w:t>s</w:t>
      </w:r>
      <w:r w:rsidR="00550542" w:rsidRPr="00E541D8">
        <w:t xml:space="preserve"> the significance of </w:t>
      </w:r>
      <w:r w:rsidR="00F74B4C" w:rsidRPr="00E541D8">
        <w:t xml:space="preserve">research on the impact of foreign, particularly Western, MNCs on EDI in CEE. </w:t>
      </w:r>
    </w:p>
    <w:p w14:paraId="2BD7EA5B" w14:textId="77777777" w:rsidR="001C2716" w:rsidRPr="00E541D8" w:rsidRDefault="001C2716" w:rsidP="005D70FB">
      <w:pPr>
        <w:spacing w:line="360" w:lineRule="auto"/>
        <w:jc w:val="both"/>
        <w:rPr>
          <w:rFonts w:eastAsia="TimesNewRomanPSMT" w:cstheme="minorHAnsi"/>
        </w:rPr>
      </w:pPr>
    </w:p>
    <w:p w14:paraId="0D9044E9" w14:textId="28561293" w:rsidR="005D70FB" w:rsidRPr="00E541D8" w:rsidRDefault="001C2716" w:rsidP="005D70FB">
      <w:pPr>
        <w:spacing w:line="360" w:lineRule="auto"/>
        <w:jc w:val="both"/>
        <w:rPr>
          <w:rFonts w:eastAsia="TimesNewRomanPSMT" w:cstheme="minorHAnsi"/>
          <w:b/>
          <w:bCs/>
        </w:rPr>
      </w:pPr>
      <w:r w:rsidRPr="00E541D8">
        <w:rPr>
          <w:rFonts w:eastAsia="TimesNewRomanPSMT" w:cstheme="minorHAnsi"/>
          <w:b/>
          <w:bCs/>
        </w:rPr>
        <w:lastRenderedPageBreak/>
        <w:t xml:space="preserve">Institutional </w:t>
      </w:r>
      <w:r w:rsidR="001B05FC" w:rsidRPr="00E541D8">
        <w:rPr>
          <w:rFonts w:eastAsia="TimesNewRomanPSMT" w:cstheme="minorHAnsi"/>
          <w:b/>
          <w:bCs/>
        </w:rPr>
        <w:t>work</w:t>
      </w:r>
    </w:p>
    <w:p w14:paraId="1F644512" w14:textId="61D4E1F0" w:rsidR="004F08D2" w:rsidRPr="00E541D8" w:rsidRDefault="00037974" w:rsidP="004F08D2">
      <w:pPr>
        <w:spacing w:line="360" w:lineRule="auto"/>
        <w:jc w:val="both"/>
      </w:pPr>
      <w:r w:rsidRPr="00E541D8">
        <w:t>Institutional theory provides “the most satisfactory description of organization-environment relations, explaining and predicting how organizations conform to prevailing institutional demands, adopt institutionally accepted practices and become similar to their peers over time” (</w:t>
      </w:r>
      <w:proofErr w:type="spellStart"/>
      <w:r w:rsidR="005D70FB" w:rsidRPr="00E541D8">
        <w:t>Aksom</w:t>
      </w:r>
      <w:proofErr w:type="spellEnd"/>
      <w:r w:rsidR="005D70FB" w:rsidRPr="00E541D8">
        <w:t>, 2022, p. 436). Thus, i</w:t>
      </w:r>
      <w:r w:rsidR="00E55074" w:rsidRPr="00E541D8">
        <w:t xml:space="preserve">nstitutional theory (DiMaggio &amp; Powell, 1983; Meyer &amp; Rowan, 1977; Scott, 1995) functions as the backdrop for this chapter, to develop new insights on the impact of foreign MNCS’ impact on EDI in CEE. According to Scott (1995 three types of institutions dominate the national context regulative, </w:t>
      </w:r>
      <w:r w:rsidR="00E8570A" w:rsidRPr="00E541D8">
        <w:t>normative,</w:t>
      </w:r>
      <w:r w:rsidR="00E55074" w:rsidRPr="00E541D8">
        <w:t xml:space="preserve"> and cognitive</w:t>
      </w:r>
      <w:r w:rsidR="00AE78F5" w:rsidRPr="00E541D8">
        <w:t>.</w:t>
      </w:r>
      <w:r w:rsidR="000F4E29" w:rsidRPr="00E541D8">
        <w:t xml:space="preserve"> </w:t>
      </w:r>
      <w:r w:rsidR="00E55074" w:rsidRPr="00E541D8">
        <w:t xml:space="preserve">Institutional theorists argue, and research on the international transfer of management practices (e.g. </w:t>
      </w:r>
      <w:proofErr w:type="spellStart"/>
      <w:r w:rsidR="00E55074" w:rsidRPr="00E541D8">
        <w:t>Kostova</w:t>
      </w:r>
      <w:proofErr w:type="spellEnd"/>
      <w:r w:rsidR="00E55074" w:rsidRPr="00E541D8">
        <w:t xml:space="preserve"> </w:t>
      </w:r>
      <w:r w:rsidR="00C56929" w:rsidRPr="00E541D8">
        <w:t xml:space="preserve">and </w:t>
      </w:r>
      <w:r w:rsidR="00E55074" w:rsidRPr="00E541D8">
        <w:t xml:space="preserve">Roth, 2002) has emphasized as well, the regulatory framework is only one aspect of the complex environment influencing the transfer process and the makeup of the organizations involved (DiMaggio &amp; Powell, 1983; Scott, 1995). According to Scott (1995) normative and cognitive aspects of the environment are equally important. </w:t>
      </w:r>
      <w:r w:rsidR="00C752E0" w:rsidRPr="00E541D8">
        <w:t xml:space="preserve">Syed and Özbilgin (2009) </w:t>
      </w:r>
      <w:r w:rsidR="00E55074" w:rsidRPr="00E541D8">
        <w:t xml:space="preserve">thus </w:t>
      </w:r>
      <w:r w:rsidR="00C752E0" w:rsidRPr="00E541D8">
        <w:t xml:space="preserve">suggest a multilevel relational framework encompassing macro-level factors such as institutions and culture in national contexts, meso-level factors, such as organisational approaches to EDI, and micro-level factors, such as identity linked to behaviour and relationships of individuals. Similarly, Woodhams and Corby (2007) are focussing on regulative macro-level pressure and its significance on the implementation of meso-level employer practices regarding employees with disabilities in the UK. Additionally, Zhang (2020) showed that the relationship between gender diversity and firm performance varies significantly across countries and industries due to differences in the institutional context. Konrad et al. (2016) found managers customizing practices, balancing competitive and </w:t>
      </w:r>
      <w:r w:rsidR="00C752E0" w:rsidRPr="00E541D8">
        <w:rPr>
          <w:rFonts w:eastAsia="TimesNewRomanPSMT" w:cstheme="minorHAnsi"/>
        </w:rPr>
        <w:t xml:space="preserve">institutional pressures to gain competitive advantage. </w:t>
      </w:r>
    </w:p>
    <w:p w14:paraId="642EFB30" w14:textId="77777777" w:rsidR="004F08D2" w:rsidRPr="00E541D8" w:rsidRDefault="004F08D2" w:rsidP="004F08D2">
      <w:pPr>
        <w:spacing w:line="360" w:lineRule="auto"/>
        <w:jc w:val="both"/>
      </w:pPr>
    </w:p>
    <w:p w14:paraId="0A28F0D6" w14:textId="5F96D31F" w:rsidR="00353223" w:rsidRPr="00E541D8" w:rsidRDefault="00AE78F5" w:rsidP="00353223">
      <w:pPr>
        <w:spacing w:line="360" w:lineRule="auto"/>
        <w:jc w:val="both"/>
      </w:pPr>
      <w:r w:rsidRPr="00E541D8">
        <w:t xml:space="preserve">Institutional theory </w:t>
      </w:r>
      <w:r w:rsidR="004F08D2" w:rsidRPr="00E541D8">
        <w:t xml:space="preserve">traditionally </w:t>
      </w:r>
      <w:r w:rsidRPr="00E541D8">
        <w:t xml:space="preserve">suggests that organisations are compelled to follow emic practices by isomorphic pressures in order to gain legitimacy.  This may result in </w:t>
      </w:r>
      <w:r w:rsidR="005D70FB" w:rsidRPr="00E541D8">
        <w:t>institutional inertia</w:t>
      </w:r>
      <w:r w:rsidRPr="00E541D8">
        <w:t xml:space="preserve"> through </w:t>
      </w:r>
      <w:r w:rsidR="005D70FB" w:rsidRPr="00E541D8">
        <w:t>institutionalized</w:t>
      </w:r>
      <w:r w:rsidRPr="00E541D8">
        <w:t xml:space="preserve"> </w:t>
      </w:r>
      <w:r w:rsidR="005D70FB" w:rsidRPr="00E541D8">
        <w:t xml:space="preserve">routines </w:t>
      </w:r>
      <w:r w:rsidRPr="00E541D8">
        <w:t xml:space="preserve">which may </w:t>
      </w:r>
      <w:r w:rsidR="005D70FB" w:rsidRPr="00E541D8">
        <w:t>hinder</w:t>
      </w:r>
      <w:r w:rsidRPr="00E541D8">
        <w:t xml:space="preserve"> </w:t>
      </w:r>
      <w:r w:rsidR="005D70FB" w:rsidRPr="00E541D8">
        <w:t xml:space="preserve">organizational </w:t>
      </w:r>
      <w:r w:rsidRPr="00E541D8">
        <w:t>change (</w:t>
      </w:r>
      <w:proofErr w:type="spellStart"/>
      <w:r w:rsidRPr="00E541D8">
        <w:t>Aksom</w:t>
      </w:r>
      <w:proofErr w:type="spellEnd"/>
      <w:r w:rsidRPr="00E541D8">
        <w:t xml:space="preserve">, 2022). </w:t>
      </w:r>
      <w:r w:rsidR="004F08D2" w:rsidRPr="00E541D8">
        <w:t>D</w:t>
      </w:r>
      <w:r w:rsidR="000F4E29" w:rsidRPr="00E541D8">
        <w:t xml:space="preserve">espite their inertia-inducing stickiness, institutions </w:t>
      </w:r>
      <w:r w:rsidR="004F08D2" w:rsidRPr="00E541D8">
        <w:t xml:space="preserve">may be </w:t>
      </w:r>
      <w:r w:rsidR="000F4E29" w:rsidRPr="00E541D8">
        <w:t xml:space="preserve">subject to evolutionary processes and subsequent institutional change. </w:t>
      </w:r>
      <w:r w:rsidR="00E55074" w:rsidRPr="00E541D8">
        <w:t>T</w:t>
      </w:r>
      <w:r w:rsidR="00353223" w:rsidRPr="00E541D8">
        <w:t>h</w:t>
      </w:r>
      <w:r w:rsidR="000F4E29" w:rsidRPr="00E541D8">
        <w:t>is</w:t>
      </w:r>
      <w:r w:rsidR="00E55074" w:rsidRPr="00E541D8">
        <w:t xml:space="preserve"> </w:t>
      </w:r>
      <w:r w:rsidR="00353223" w:rsidRPr="00E541D8">
        <w:t xml:space="preserve">evolution </w:t>
      </w:r>
      <w:r w:rsidR="0083204E" w:rsidRPr="00E541D8">
        <w:t xml:space="preserve">may </w:t>
      </w:r>
      <w:r w:rsidR="00E541D8" w:rsidRPr="00E541D8">
        <w:t>be driven</w:t>
      </w:r>
      <w:r w:rsidR="000F4E29" w:rsidRPr="00E541D8">
        <w:t xml:space="preserve"> by organisational</w:t>
      </w:r>
      <w:r w:rsidR="00353223" w:rsidRPr="00E541D8">
        <w:t xml:space="preserve"> behaviour and agency</w:t>
      </w:r>
      <w:r w:rsidR="000F4E29" w:rsidRPr="00E541D8">
        <w:t xml:space="preserve"> </w:t>
      </w:r>
      <w:r w:rsidR="00C56929" w:rsidRPr="00E541D8">
        <w:t>through</w:t>
      </w:r>
      <w:r w:rsidR="00E55074" w:rsidRPr="00E541D8">
        <w:t xml:space="preserve"> </w:t>
      </w:r>
      <w:r w:rsidR="00353223" w:rsidRPr="00E541D8">
        <w:t>the dynamic interplay between actors and institutional structures</w:t>
      </w:r>
      <w:r w:rsidR="004F08D2" w:rsidRPr="00E541D8">
        <w:t xml:space="preserve"> (</w:t>
      </w:r>
      <w:proofErr w:type="spellStart"/>
      <w:r w:rsidR="0083204E" w:rsidRPr="00E541D8">
        <w:t>Tempel</w:t>
      </w:r>
      <w:proofErr w:type="spellEnd"/>
      <w:r w:rsidR="00C56929" w:rsidRPr="00E541D8">
        <w:t xml:space="preserve"> and </w:t>
      </w:r>
      <w:proofErr w:type="spellStart"/>
      <w:r w:rsidR="00C56929" w:rsidRPr="00E541D8">
        <w:t>Walgenbach</w:t>
      </w:r>
      <w:proofErr w:type="spellEnd"/>
      <w:r w:rsidR="00C56929" w:rsidRPr="00E541D8">
        <w:t>, 2012;</w:t>
      </w:r>
      <w:r w:rsidR="0083204E" w:rsidRPr="00E541D8">
        <w:t xml:space="preserve"> </w:t>
      </w:r>
      <w:proofErr w:type="spellStart"/>
      <w:r w:rsidR="00277CD1" w:rsidRPr="00E541D8">
        <w:rPr>
          <w:rFonts w:eastAsia="TimesNewRomanPSMT" w:cstheme="minorHAnsi"/>
        </w:rPr>
        <w:t>Tsui</w:t>
      </w:r>
      <w:proofErr w:type="spellEnd"/>
      <w:r w:rsidR="00277CD1" w:rsidRPr="00E541D8">
        <w:rPr>
          <w:rFonts w:eastAsia="TimesNewRomanPSMT" w:cstheme="minorHAnsi"/>
        </w:rPr>
        <w:t xml:space="preserve">-Auch and Chow, 2019; </w:t>
      </w:r>
      <w:proofErr w:type="spellStart"/>
      <w:r w:rsidR="004F08D2" w:rsidRPr="00E541D8">
        <w:t>Aksom</w:t>
      </w:r>
      <w:proofErr w:type="spellEnd"/>
      <w:r w:rsidR="004F08D2" w:rsidRPr="00E541D8">
        <w:t>, 2022)</w:t>
      </w:r>
      <w:r w:rsidR="00353223" w:rsidRPr="00E541D8">
        <w:t>.</w:t>
      </w:r>
      <w:r w:rsidR="000F4E29" w:rsidRPr="00E541D8">
        <w:t xml:space="preserve"> Hereby </w:t>
      </w:r>
      <w:r w:rsidR="004F08D2" w:rsidRPr="00E541D8">
        <w:t xml:space="preserve">institutional work comes into play, which is defined as </w:t>
      </w:r>
      <w:r w:rsidR="000F4E29" w:rsidRPr="00E541D8">
        <w:t xml:space="preserve">“the purposive action of individuals and </w:t>
      </w:r>
      <w:r w:rsidR="000F4E29" w:rsidRPr="00E541D8">
        <w:lastRenderedPageBreak/>
        <w:t>organizations aimed at creating, maintaining and disrupting institutions”</w:t>
      </w:r>
      <w:r w:rsidR="00E541D8" w:rsidRPr="00E541D8">
        <w:t xml:space="preserve"> </w:t>
      </w:r>
      <w:r w:rsidR="000F4E29" w:rsidRPr="00E541D8">
        <w:t>(Lawrence &amp; Suddaby, 2006: 215).</w:t>
      </w:r>
      <w:r w:rsidR="004F08D2" w:rsidRPr="00E541D8">
        <w:t xml:space="preserve"> Institutional work shifts the focus to understanding how organisational action affects institutions (Lawrence et al., 2009).</w:t>
      </w:r>
    </w:p>
    <w:p w14:paraId="770E84EC" w14:textId="77777777" w:rsidR="007C5CA5" w:rsidRPr="00E541D8" w:rsidRDefault="007C5CA5" w:rsidP="005376EE">
      <w:pPr>
        <w:spacing w:line="360" w:lineRule="auto"/>
        <w:jc w:val="both"/>
        <w:rPr>
          <w:rFonts w:eastAsia="TimesNewRomanPSMT" w:cstheme="minorHAnsi"/>
        </w:rPr>
      </w:pPr>
    </w:p>
    <w:p w14:paraId="4547F2C3" w14:textId="18524AE3" w:rsidR="001C2716" w:rsidRPr="00E541D8" w:rsidRDefault="001C2716" w:rsidP="005376EE">
      <w:pPr>
        <w:spacing w:line="360" w:lineRule="auto"/>
        <w:jc w:val="both"/>
        <w:rPr>
          <w:rFonts w:eastAsia="TimesNewRomanPSMT" w:cstheme="minorHAnsi"/>
          <w:b/>
          <w:bCs/>
        </w:rPr>
      </w:pPr>
      <w:r w:rsidRPr="00E541D8">
        <w:rPr>
          <w:rFonts w:eastAsia="TimesNewRomanPSMT" w:cstheme="minorHAnsi"/>
          <w:b/>
          <w:bCs/>
        </w:rPr>
        <w:t xml:space="preserve">Macro-Level impacts </w:t>
      </w:r>
    </w:p>
    <w:p w14:paraId="5018E59E" w14:textId="5EE87490" w:rsidR="003625CA" w:rsidRPr="00E541D8" w:rsidRDefault="00E55074" w:rsidP="007D67CD">
      <w:pPr>
        <w:pStyle w:val="Default"/>
        <w:spacing w:line="360" w:lineRule="auto"/>
        <w:jc w:val="both"/>
        <w:rPr>
          <w:rFonts w:asciiTheme="minorHAnsi" w:hAnsiTheme="minorHAnsi" w:cstheme="minorHAnsi"/>
          <w:color w:val="FF0000"/>
          <w:lang w:val="en-GB"/>
        </w:rPr>
      </w:pPr>
      <w:r w:rsidRPr="00E541D8">
        <w:rPr>
          <w:rFonts w:asciiTheme="minorHAnsi" w:hAnsiTheme="minorHAnsi" w:cstheme="minorHAnsi"/>
          <w:color w:val="auto"/>
          <w:lang w:val="en-GB"/>
        </w:rPr>
        <w:t>Building</w:t>
      </w:r>
      <w:r w:rsidR="007D67CD" w:rsidRPr="00E541D8">
        <w:rPr>
          <w:rFonts w:asciiTheme="minorHAnsi" w:hAnsiTheme="minorHAnsi" w:cstheme="minorHAnsi"/>
          <w:color w:val="auto"/>
          <w:lang w:val="en-GB"/>
        </w:rPr>
        <w:t xml:space="preserve"> </w:t>
      </w:r>
      <w:r w:rsidR="00037974" w:rsidRPr="00E541D8">
        <w:rPr>
          <w:rFonts w:asciiTheme="minorHAnsi" w:hAnsiTheme="minorHAnsi" w:cstheme="minorHAnsi"/>
          <w:color w:val="auto"/>
          <w:lang w:val="en-GB"/>
        </w:rPr>
        <w:t xml:space="preserve">on </w:t>
      </w:r>
      <w:r w:rsidR="007D67CD" w:rsidRPr="00E541D8">
        <w:rPr>
          <w:rFonts w:asciiTheme="minorHAnsi" w:hAnsiTheme="minorHAnsi" w:cstheme="minorHAnsi"/>
          <w:color w:val="auto"/>
          <w:lang w:val="en-GB"/>
        </w:rPr>
        <w:t xml:space="preserve">a literature review concerning issues of EDI transfer, contextual influences on EDI and particularly an analysis of institutional work of foreign MNCS in CEE. </w:t>
      </w:r>
      <w:r w:rsidR="003625CA" w:rsidRPr="00E541D8">
        <w:rPr>
          <w:rFonts w:asciiTheme="minorHAnsi" w:hAnsiTheme="minorHAnsi" w:cstheme="minorHAnsi"/>
          <w:lang w:val="en-GB"/>
        </w:rPr>
        <w:t xml:space="preserve">Drawing on Syed and </w:t>
      </w:r>
      <w:proofErr w:type="spellStart"/>
      <w:r w:rsidR="003625CA" w:rsidRPr="00E541D8">
        <w:rPr>
          <w:rFonts w:asciiTheme="minorHAnsi" w:hAnsiTheme="minorHAnsi" w:cstheme="minorHAnsi"/>
          <w:lang w:val="en-GB"/>
        </w:rPr>
        <w:t>Özbilgin’s</w:t>
      </w:r>
      <w:proofErr w:type="spellEnd"/>
      <w:r w:rsidR="003625CA" w:rsidRPr="00E541D8">
        <w:rPr>
          <w:rFonts w:asciiTheme="minorHAnsi" w:hAnsiTheme="minorHAnsi" w:cstheme="minorHAnsi"/>
          <w:lang w:val="en-GB"/>
        </w:rPr>
        <w:t xml:space="preserve"> (2009) three-level framework, this study aims to detect a macro-level impact </w:t>
      </w:r>
      <w:r w:rsidR="007D67CD" w:rsidRPr="00E541D8">
        <w:rPr>
          <w:rFonts w:asciiTheme="minorHAnsi" w:hAnsiTheme="minorHAnsi" w:cstheme="minorHAnsi"/>
          <w:lang w:val="en-GB"/>
        </w:rPr>
        <w:t xml:space="preserve">of foreign MNCs institutional work by </w:t>
      </w:r>
      <w:proofErr w:type="spellStart"/>
      <w:r w:rsidR="00E541D8" w:rsidRPr="00E541D8">
        <w:rPr>
          <w:rFonts w:asciiTheme="minorHAnsi" w:hAnsiTheme="minorHAnsi" w:cstheme="minorHAnsi"/>
          <w:lang w:val="en-GB"/>
        </w:rPr>
        <w:t>analyzing</w:t>
      </w:r>
      <w:proofErr w:type="spellEnd"/>
      <w:r w:rsidR="007D67CD" w:rsidRPr="00E541D8">
        <w:rPr>
          <w:rFonts w:asciiTheme="minorHAnsi" w:hAnsiTheme="minorHAnsi" w:cstheme="minorHAnsi"/>
          <w:lang w:val="en-GB"/>
        </w:rPr>
        <w:t xml:space="preserve"> the normative institutional context in CEE as well as </w:t>
      </w:r>
      <w:r w:rsidR="003625CA" w:rsidRPr="00E541D8">
        <w:rPr>
          <w:rFonts w:asciiTheme="minorHAnsi" w:hAnsiTheme="minorHAnsi" w:cstheme="minorHAnsi"/>
          <w:lang w:val="en-GB"/>
        </w:rPr>
        <w:t xml:space="preserve">meso-level company </w:t>
      </w:r>
      <w:r w:rsidR="007D67CD" w:rsidRPr="00E541D8">
        <w:rPr>
          <w:rFonts w:asciiTheme="minorHAnsi" w:hAnsiTheme="minorHAnsi" w:cstheme="minorHAnsi"/>
          <w:lang w:val="en-GB"/>
        </w:rPr>
        <w:t>EDI</w:t>
      </w:r>
      <w:r w:rsidR="003625CA" w:rsidRPr="00E541D8">
        <w:rPr>
          <w:rFonts w:asciiTheme="minorHAnsi" w:hAnsiTheme="minorHAnsi" w:cstheme="minorHAnsi"/>
          <w:lang w:val="en-GB"/>
        </w:rPr>
        <w:t xml:space="preserve"> practice, to address the neglected consideration of different contexts as criticised in Özbilgin (2008). </w:t>
      </w:r>
      <w:r w:rsidRPr="00E541D8">
        <w:rPr>
          <w:rFonts w:asciiTheme="minorHAnsi" w:hAnsiTheme="minorHAnsi" w:cstheme="minorHAnsi"/>
          <w:kern w:val="2"/>
          <w:lang w:val="en-GB"/>
        </w:rPr>
        <w:t xml:space="preserve">Norms determine what is preferred or desirable </w:t>
      </w:r>
      <w:r w:rsidRPr="00E541D8">
        <w:rPr>
          <w:rFonts w:asciiTheme="minorHAnsi" w:hAnsiTheme="minorHAnsi" w:cstheme="minorHAnsi"/>
          <w:lang w:val="en-GB"/>
        </w:rPr>
        <w:t>and showcase</w:t>
      </w:r>
      <w:r w:rsidRPr="00E541D8">
        <w:rPr>
          <w:rFonts w:asciiTheme="minorHAnsi" w:hAnsiTheme="minorHAnsi" w:cstheme="minorHAnsi"/>
          <w:kern w:val="2"/>
          <w:lang w:val="en-GB"/>
        </w:rPr>
        <w:t xml:space="preserve"> how </w:t>
      </w:r>
      <w:r w:rsidRPr="00E541D8">
        <w:rPr>
          <w:rFonts w:asciiTheme="minorHAnsi" w:hAnsiTheme="minorHAnsi" w:cstheme="minorHAnsi"/>
          <w:lang w:val="en-GB"/>
        </w:rPr>
        <w:t xml:space="preserve">things </w:t>
      </w:r>
      <w:r w:rsidRPr="00E541D8">
        <w:rPr>
          <w:rFonts w:asciiTheme="minorHAnsi" w:hAnsiTheme="minorHAnsi" w:cstheme="minorHAnsi"/>
          <w:kern w:val="2"/>
          <w:lang w:val="en-GB"/>
        </w:rPr>
        <w:t>should be done</w:t>
      </w:r>
      <w:r w:rsidRPr="00E541D8">
        <w:rPr>
          <w:rFonts w:asciiTheme="minorHAnsi" w:hAnsiTheme="minorHAnsi" w:cstheme="minorHAnsi"/>
          <w:lang w:val="en-GB"/>
        </w:rPr>
        <w:t xml:space="preserve"> to inform members of a society about the expected behaviours (Scott, 1995). </w:t>
      </w:r>
      <w:r w:rsidR="003625CA" w:rsidRPr="00E541D8">
        <w:rPr>
          <w:rFonts w:asciiTheme="minorHAnsi" w:hAnsiTheme="minorHAnsi" w:cstheme="minorHAnsi"/>
          <w:lang w:val="en-GB"/>
        </w:rPr>
        <w:t xml:space="preserve">To examine possible normative pressures, we </w:t>
      </w:r>
      <w:r w:rsidRPr="00E541D8">
        <w:rPr>
          <w:rFonts w:asciiTheme="minorHAnsi" w:hAnsiTheme="minorHAnsi" w:cstheme="minorHAnsi"/>
          <w:lang w:val="en-GB"/>
        </w:rPr>
        <w:t xml:space="preserve">opt to </w:t>
      </w:r>
      <w:r w:rsidR="003625CA" w:rsidRPr="00E541D8">
        <w:rPr>
          <w:rFonts w:asciiTheme="minorHAnsi" w:hAnsiTheme="minorHAnsi" w:cstheme="minorHAnsi"/>
          <w:lang w:val="en-GB"/>
        </w:rPr>
        <w:t xml:space="preserve">analyse </w:t>
      </w:r>
      <w:r w:rsidR="00A16CD5" w:rsidRPr="00E541D8">
        <w:rPr>
          <w:rFonts w:asciiTheme="minorHAnsi" w:hAnsiTheme="minorHAnsi" w:cstheme="minorHAnsi"/>
          <w:lang w:val="en-GB"/>
        </w:rPr>
        <w:t xml:space="preserve">the </w:t>
      </w:r>
      <w:r w:rsidR="003625CA" w:rsidRPr="00E541D8">
        <w:rPr>
          <w:rFonts w:asciiTheme="minorHAnsi" w:hAnsiTheme="minorHAnsi" w:cstheme="minorHAnsi"/>
          <w:lang w:val="en-GB"/>
        </w:rPr>
        <w:t>diversity charter</w:t>
      </w:r>
      <w:r w:rsidR="00A16CD5" w:rsidRPr="00E541D8">
        <w:rPr>
          <w:rFonts w:asciiTheme="minorHAnsi" w:hAnsiTheme="minorHAnsi" w:cstheme="minorHAnsi"/>
          <w:lang w:val="en-GB"/>
        </w:rPr>
        <w:t>s</w:t>
      </w:r>
      <w:r w:rsidR="003625CA" w:rsidRPr="00E541D8">
        <w:rPr>
          <w:rFonts w:asciiTheme="minorHAnsi" w:hAnsiTheme="minorHAnsi" w:cstheme="minorHAnsi"/>
          <w:lang w:val="en-GB"/>
        </w:rPr>
        <w:t xml:space="preserve">, i.e., voluntary initiatives aiming at encouraging organizations to implement and develop </w:t>
      </w:r>
      <w:r w:rsidR="00A16CD5" w:rsidRPr="00E541D8">
        <w:rPr>
          <w:rFonts w:asciiTheme="minorHAnsi" w:hAnsiTheme="minorHAnsi" w:cstheme="minorHAnsi"/>
          <w:lang w:val="en-GB"/>
        </w:rPr>
        <w:t xml:space="preserve">EDI </w:t>
      </w:r>
      <w:r w:rsidR="003625CA" w:rsidRPr="00E541D8">
        <w:rPr>
          <w:rFonts w:asciiTheme="minorHAnsi" w:hAnsiTheme="minorHAnsi" w:cstheme="minorHAnsi"/>
          <w:lang w:val="en-GB"/>
        </w:rPr>
        <w:t>practices</w:t>
      </w:r>
      <w:r w:rsidR="00A16CD5" w:rsidRPr="00E541D8">
        <w:rPr>
          <w:rFonts w:asciiTheme="minorHAnsi" w:hAnsiTheme="minorHAnsi" w:cstheme="minorHAnsi"/>
          <w:lang w:val="en-GB"/>
        </w:rPr>
        <w:t>, across ten CEE countries</w:t>
      </w:r>
      <w:r w:rsidR="003625CA" w:rsidRPr="00E541D8">
        <w:rPr>
          <w:rFonts w:asciiTheme="minorHAnsi" w:hAnsiTheme="minorHAnsi" w:cstheme="minorHAnsi"/>
          <w:lang w:val="en-GB"/>
        </w:rPr>
        <w:t xml:space="preserve">. The more companies, as well as corporate customers, suppliers, and competitors, are part of such initiatives the higher becomes the normative pressure to join by creating peer pressure. By joining, the companies pledge to certain values and have to show their actions to reach the charter targets. We applied an inductive categorization to the charter contents, resulting in the seven dimensions </w:t>
      </w:r>
      <w:r w:rsidR="003625CA" w:rsidRPr="00E541D8">
        <w:rPr>
          <w:rFonts w:asciiTheme="minorHAnsi" w:hAnsiTheme="minorHAnsi" w:cstheme="minorHAnsi"/>
          <w:i/>
          <w:lang w:val="en-GB"/>
        </w:rPr>
        <w:t xml:space="preserve">Initial </w:t>
      </w:r>
      <w:r w:rsidR="004F08D2" w:rsidRPr="00E541D8">
        <w:rPr>
          <w:rFonts w:asciiTheme="minorHAnsi" w:hAnsiTheme="minorHAnsi" w:cstheme="minorHAnsi"/>
          <w:i/>
          <w:lang w:val="en-GB"/>
        </w:rPr>
        <w:t xml:space="preserve">Impulse, Initial </w:t>
      </w:r>
      <w:r w:rsidR="003625CA" w:rsidRPr="00E541D8">
        <w:rPr>
          <w:rFonts w:asciiTheme="minorHAnsi" w:hAnsiTheme="minorHAnsi" w:cstheme="minorHAnsi"/>
          <w:i/>
          <w:lang w:val="en-GB"/>
        </w:rPr>
        <w:t>Funding</w:t>
      </w:r>
      <w:r w:rsidR="003625CA" w:rsidRPr="00E541D8">
        <w:rPr>
          <w:rFonts w:asciiTheme="minorHAnsi" w:hAnsiTheme="minorHAnsi" w:cstheme="minorHAnsi"/>
          <w:lang w:val="en-GB"/>
        </w:rPr>
        <w:t>,</w:t>
      </w:r>
      <w:r w:rsidR="003625CA" w:rsidRPr="00E541D8">
        <w:rPr>
          <w:rFonts w:asciiTheme="minorHAnsi" w:hAnsiTheme="minorHAnsi" w:cstheme="minorHAnsi"/>
          <w:i/>
          <w:lang w:val="en-GB"/>
        </w:rPr>
        <w:t xml:space="preserve"> </w:t>
      </w:r>
      <w:proofErr w:type="gramStart"/>
      <w:r w:rsidR="003625CA" w:rsidRPr="00E541D8">
        <w:rPr>
          <w:rFonts w:asciiTheme="minorHAnsi" w:hAnsiTheme="minorHAnsi" w:cstheme="minorHAnsi"/>
          <w:i/>
          <w:lang w:val="en-GB"/>
        </w:rPr>
        <w:t>Launch</w:t>
      </w:r>
      <w:proofErr w:type="gramEnd"/>
      <w:r w:rsidR="003625CA" w:rsidRPr="00E541D8">
        <w:rPr>
          <w:rFonts w:asciiTheme="minorHAnsi" w:hAnsiTheme="minorHAnsi" w:cstheme="minorHAnsi"/>
          <w:i/>
          <w:lang w:val="en-GB"/>
        </w:rPr>
        <w:t xml:space="preserve"> date, Signatories, </w:t>
      </w:r>
      <w:r w:rsidR="00E8570A" w:rsidRPr="00E541D8">
        <w:rPr>
          <w:rFonts w:asciiTheme="minorHAnsi" w:hAnsiTheme="minorHAnsi" w:cstheme="minorHAnsi"/>
          <w:i/>
          <w:lang w:val="en-GB"/>
        </w:rPr>
        <w:t>Share of foreign</w:t>
      </w:r>
      <w:r w:rsidR="003625CA" w:rsidRPr="00E541D8">
        <w:rPr>
          <w:rFonts w:asciiTheme="minorHAnsi" w:hAnsiTheme="minorHAnsi" w:cstheme="minorHAnsi"/>
          <w:i/>
          <w:lang w:val="en-GB"/>
        </w:rPr>
        <w:t xml:space="preserve"> Signatories</w:t>
      </w:r>
      <w:r w:rsidR="004F08D2" w:rsidRPr="00E541D8">
        <w:rPr>
          <w:rFonts w:asciiTheme="minorHAnsi" w:hAnsiTheme="minorHAnsi" w:cstheme="minorHAnsi"/>
          <w:lang w:val="en-GB"/>
        </w:rPr>
        <w:t xml:space="preserve">, all directed at detecting whether the charter is driven by external influences, as well as the addressed </w:t>
      </w:r>
      <w:r w:rsidR="004F08D2" w:rsidRPr="00E541D8">
        <w:rPr>
          <w:rFonts w:asciiTheme="minorHAnsi" w:hAnsiTheme="minorHAnsi" w:cstheme="minorHAnsi"/>
          <w:i/>
          <w:lang w:val="en-GB"/>
        </w:rPr>
        <w:t>Diversity dimensions</w:t>
      </w:r>
      <w:r w:rsidR="004F08D2" w:rsidRPr="00E541D8">
        <w:rPr>
          <w:rFonts w:asciiTheme="minorHAnsi" w:hAnsiTheme="minorHAnsi" w:cstheme="minorHAnsi"/>
          <w:lang w:val="en-GB"/>
        </w:rPr>
        <w:t xml:space="preserve"> in order to analyse whether etic framings of diversity were used.</w:t>
      </w:r>
    </w:p>
    <w:p w14:paraId="341018AF" w14:textId="77777777" w:rsidR="00E8570A" w:rsidRPr="00E541D8" w:rsidRDefault="00E8570A" w:rsidP="00310B5C">
      <w:pPr>
        <w:pStyle w:val="Default"/>
        <w:spacing w:line="360" w:lineRule="auto"/>
        <w:jc w:val="both"/>
        <w:rPr>
          <w:rFonts w:asciiTheme="minorHAnsi" w:eastAsia="TimesNewRomanPSMT" w:hAnsiTheme="minorHAnsi" w:cstheme="minorHAnsi"/>
          <w:lang w:val="en-GB"/>
        </w:rPr>
      </w:pPr>
    </w:p>
    <w:p w14:paraId="658E1E6C" w14:textId="4518E713" w:rsidR="00E8570A" w:rsidRPr="00E541D8" w:rsidRDefault="00E8570A" w:rsidP="00310B5C">
      <w:pPr>
        <w:pStyle w:val="Default"/>
        <w:spacing w:line="360" w:lineRule="auto"/>
        <w:jc w:val="both"/>
        <w:rPr>
          <w:rFonts w:asciiTheme="minorHAnsi" w:eastAsia="TimesNewRomanPSMT" w:hAnsiTheme="minorHAnsi" w:cstheme="minorHAnsi"/>
          <w:lang w:val="en-GB"/>
        </w:rPr>
      </w:pPr>
      <w:r w:rsidRPr="00E541D8">
        <w:rPr>
          <w:rFonts w:asciiTheme="minorHAnsi" w:eastAsia="TimesNewRomanPSMT" w:hAnsiTheme="minorHAnsi" w:cstheme="minorHAnsi"/>
          <w:lang w:val="en-GB"/>
        </w:rPr>
        <w:t xml:space="preserve">We find that the normative institutional context in CEE countries is increasingly shaped by foreign forces, particularly the European union and its programmes as well as western MNCs. On the macro-level foreign agents engage in </w:t>
      </w:r>
      <w:r w:rsidR="00A16CD5" w:rsidRPr="00E541D8">
        <w:rPr>
          <w:rFonts w:asciiTheme="minorHAnsi" w:eastAsia="TimesNewRomanPSMT" w:hAnsiTheme="minorHAnsi" w:cstheme="minorHAnsi"/>
          <w:lang w:val="en-GB"/>
        </w:rPr>
        <w:t xml:space="preserve">normative </w:t>
      </w:r>
      <w:r w:rsidRPr="00E541D8">
        <w:rPr>
          <w:rFonts w:asciiTheme="minorHAnsi" w:eastAsia="TimesNewRomanPSMT" w:hAnsiTheme="minorHAnsi" w:cstheme="minorHAnsi"/>
          <w:lang w:val="en-GB"/>
        </w:rPr>
        <w:t>institutional work by determining expected behaviours through an organisational commitment to the society to promoting diversity and equal opportunities for its staff.</w:t>
      </w:r>
      <w:r w:rsidR="00A16CD5" w:rsidRPr="00E541D8">
        <w:rPr>
          <w:rFonts w:asciiTheme="minorHAnsi" w:eastAsia="TimesNewRomanPSMT" w:hAnsiTheme="minorHAnsi" w:cstheme="minorHAnsi"/>
          <w:lang w:val="en-GB"/>
        </w:rPr>
        <w:t xml:space="preserve"> This is showcased by least 40 % (Latvia) and up to 90 % (Bulgaria) of foreign signatories in CEE diversity charters. </w:t>
      </w:r>
      <w:r w:rsidR="00841BE3" w:rsidRPr="00E541D8">
        <w:rPr>
          <w:rFonts w:asciiTheme="minorHAnsi" w:eastAsia="TimesNewRomanPSMT" w:hAnsiTheme="minorHAnsi" w:cstheme="minorHAnsi"/>
          <w:lang w:val="en-GB"/>
        </w:rPr>
        <w:t xml:space="preserve">Only Slovenia stands out, </w:t>
      </w:r>
      <w:r w:rsidR="00D67605" w:rsidRPr="00E541D8">
        <w:rPr>
          <w:rFonts w:asciiTheme="minorHAnsi" w:eastAsia="TimesNewRomanPSMT" w:hAnsiTheme="minorHAnsi" w:cstheme="minorHAnsi"/>
          <w:lang w:val="en-GB"/>
        </w:rPr>
        <w:t>with</w:t>
      </w:r>
      <w:r w:rsidR="00841BE3" w:rsidRPr="00E541D8">
        <w:rPr>
          <w:rFonts w:asciiTheme="minorHAnsi" w:eastAsia="TimesNewRomanPSMT" w:hAnsiTheme="minorHAnsi" w:cstheme="minorHAnsi"/>
          <w:lang w:val="en-GB"/>
        </w:rPr>
        <w:t xml:space="preserve"> only 25% foreign signatories. </w:t>
      </w:r>
      <w:r w:rsidR="00A16CD5" w:rsidRPr="00E541D8">
        <w:rPr>
          <w:rFonts w:asciiTheme="minorHAnsi" w:eastAsia="TimesNewRomanPSMT" w:hAnsiTheme="minorHAnsi" w:cstheme="minorHAnsi"/>
          <w:lang w:val="en-GB"/>
        </w:rPr>
        <w:t xml:space="preserve">Strikingly, the non-EU countries of Russia and Serbia do not offer diversity charters, indicating a misfit between the countries’ institutional environments and EDI practices. </w:t>
      </w:r>
    </w:p>
    <w:p w14:paraId="647265EE" w14:textId="73AB3BE3" w:rsidR="00B23ACD" w:rsidRPr="00E541D8" w:rsidRDefault="00B23ACD">
      <w:pPr>
        <w:rPr>
          <w:rFonts w:eastAsia="TimesNewRomanPSMT" w:cstheme="minorHAnsi"/>
        </w:rPr>
      </w:pPr>
    </w:p>
    <w:tbl>
      <w:tblPr>
        <w:tblW w:w="10923" w:type="dxa"/>
        <w:tblInd w:w="-936" w:type="dxa"/>
        <w:tblCellMar>
          <w:left w:w="0" w:type="dxa"/>
          <w:right w:w="0" w:type="dxa"/>
        </w:tblCellMar>
        <w:tblLook w:val="04A0" w:firstRow="1" w:lastRow="0" w:firstColumn="1" w:lastColumn="0" w:noHBand="0" w:noVBand="1"/>
      </w:tblPr>
      <w:tblGrid>
        <w:gridCol w:w="977"/>
        <w:gridCol w:w="558"/>
        <w:gridCol w:w="1171"/>
        <w:gridCol w:w="985"/>
        <w:gridCol w:w="1055"/>
        <w:gridCol w:w="1129"/>
        <w:gridCol w:w="1038"/>
        <w:gridCol w:w="1076"/>
        <w:gridCol w:w="823"/>
        <w:gridCol w:w="1055"/>
        <w:gridCol w:w="980"/>
        <w:gridCol w:w="76"/>
      </w:tblGrid>
      <w:tr w:rsidR="001B05FC" w:rsidRPr="00E541D8" w14:paraId="52E93555" w14:textId="77777777" w:rsidTr="001B05FC">
        <w:trPr>
          <w:trHeight w:val="315"/>
        </w:trPr>
        <w:tc>
          <w:tcPr>
            <w:tcW w:w="977"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598D2AC5" w14:textId="4AFB9B0E" w:rsidR="001B05FC" w:rsidRPr="00E541D8" w:rsidRDefault="001B05FC" w:rsidP="00310B5C">
            <w:pPr>
              <w:ind w:right="267"/>
              <w:rPr>
                <w:rFonts w:ascii="Calibri" w:hAnsi="Calibri" w:cs="Calibri"/>
                <w:b/>
                <w:bCs/>
                <w:color w:val="FFFFFF"/>
                <w:sz w:val="20"/>
                <w:szCs w:val="20"/>
              </w:rPr>
            </w:pPr>
            <w:r w:rsidRPr="00E541D8">
              <w:rPr>
                <w:rFonts w:ascii="Calibri" w:hAnsi="Calibri" w:cs="Calibri"/>
                <w:b/>
                <w:bCs/>
                <w:color w:val="FFFFFF"/>
                <w:sz w:val="20"/>
                <w:szCs w:val="20"/>
              </w:rPr>
              <w:t>Charter</w:t>
            </w:r>
          </w:p>
        </w:tc>
        <w:tc>
          <w:tcPr>
            <w:tcW w:w="558"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17AEA5AE"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Russia</w:t>
            </w:r>
          </w:p>
        </w:tc>
        <w:tc>
          <w:tcPr>
            <w:tcW w:w="1171"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2216BD15"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   Romania      </w:t>
            </w:r>
          </w:p>
        </w:tc>
        <w:tc>
          <w:tcPr>
            <w:tcW w:w="985"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5D60A34C"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Hungary     </w:t>
            </w:r>
          </w:p>
        </w:tc>
        <w:tc>
          <w:tcPr>
            <w:tcW w:w="1055"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5F657E30"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Bulgaria</w:t>
            </w:r>
          </w:p>
        </w:tc>
        <w:tc>
          <w:tcPr>
            <w:tcW w:w="1129"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53A6E0A3"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Poland  </w:t>
            </w:r>
          </w:p>
        </w:tc>
        <w:tc>
          <w:tcPr>
            <w:tcW w:w="1038"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4404A7F4"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 xml:space="preserve"> Latvia  </w:t>
            </w:r>
          </w:p>
        </w:tc>
        <w:tc>
          <w:tcPr>
            <w:tcW w:w="1076"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01AC1436"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  Czech Republic</w:t>
            </w:r>
          </w:p>
        </w:tc>
        <w:tc>
          <w:tcPr>
            <w:tcW w:w="823"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4190038E"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  Serbia    </w:t>
            </w:r>
          </w:p>
        </w:tc>
        <w:tc>
          <w:tcPr>
            <w:tcW w:w="1055"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4CE5314F"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  Slovenia</w:t>
            </w:r>
          </w:p>
        </w:tc>
        <w:tc>
          <w:tcPr>
            <w:tcW w:w="980"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0FA18290"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Croatia</w:t>
            </w:r>
          </w:p>
        </w:tc>
        <w:tc>
          <w:tcPr>
            <w:tcW w:w="76" w:type="dxa"/>
            <w:tcBorders>
              <w:top w:val="single" w:sz="4" w:space="0" w:color="000000"/>
              <w:left w:val="single" w:sz="4" w:space="0" w:color="000000"/>
              <w:bottom w:val="nil"/>
              <w:right w:val="nil"/>
            </w:tcBorders>
            <w:shd w:val="clear" w:color="000000" w:fill="000000"/>
            <w:noWrap/>
            <w:tcMar>
              <w:top w:w="15" w:type="dxa"/>
              <w:left w:w="15" w:type="dxa"/>
              <w:bottom w:w="0" w:type="dxa"/>
              <w:right w:w="15" w:type="dxa"/>
            </w:tcMar>
            <w:hideMark/>
          </w:tcPr>
          <w:p w14:paraId="7C0A3171" w14:textId="77777777" w:rsidR="001B05FC" w:rsidRPr="00E541D8" w:rsidRDefault="001B05FC" w:rsidP="00310B5C">
            <w:pPr>
              <w:rPr>
                <w:rFonts w:ascii="Calibri" w:hAnsi="Calibri" w:cs="Calibri"/>
                <w:b/>
                <w:bCs/>
                <w:color w:val="FFFFFF"/>
                <w:sz w:val="20"/>
                <w:szCs w:val="20"/>
              </w:rPr>
            </w:pPr>
            <w:r w:rsidRPr="00E541D8">
              <w:rPr>
                <w:rFonts w:ascii="Calibri" w:hAnsi="Calibri" w:cs="Calibri"/>
                <w:b/>
                <w:bCs/>
                <w:color w:val="FFFFFF"/>
                <w:sz w:val="20"/>
                <w:szCs w:val="20"/>
              </w:rPr>
              <w:t> </w:t>
            </w:r>
          </w:p>
        </w:tc>
      </w:tr>
      <w:tr w:rsidR="001B05FC" w:rsidRPr="00E541D8" w14:paraId="7FDBB6DD" w14:textId="77777777" w:rsidTr="001B05FC">
        <w:trPr>
          <w:trHeight w:val="315"/>
        </w:trPr>
        <w:tc>
          <w:tcPr>
            <w:tcW w:w="977"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57AFDDDC"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Impulse</w:t>
            </w:r>
          </w:p>
        </w:tc>
        <w:tc>
          <w:tcPr>
            <w:tcW w:w="558"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10DF34EA"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171"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5DFDAF60"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EU I.D.E.</w:t>
            </w:r>
            <w:proofErr w:type="gramStart"/>
            <w:r w:rsidRPr="00E541D8">
              <w:rPr>
                <w:rFonts w:ascii="Calibri" w:hAnsi="Calibri" w:cs="Calibri"/>
                <w:color w:val="000000"/>
                <w:sz w:val="20"/>
                <w:szCs w:val="20"/>
              </w:rPr>
              <w:t>A.S</w:t>
            </w:r>
            <w:proofErr w:type="gramEnd"/>
          </w:p>
        </w:tc>
        <w:tc>
          <w:tcPr>
            <w:tcW w:w="985"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683DE2D2"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National</w:t>
            </w:r>
          </w:p>
        </w:tc>
        <w:tc>
          <w:tcPr>
            <w:tcW w:w="1055"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2933702D"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EU Rights, Equality and Citizenship Programme</w:t>
            </w:r>
          </w:p>
        </w:tc>
        <w:tc>
          <w:tcPr>
            <w:tcW w:w="1129"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356338AD"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National</w:t>
            </w:r>
          </w:p>
        </w:tc>
        <w:tc>
          <w:tcPr>
            <w:tcW w:w="1038"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3A8225E1"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National</w:t>
            </w:r>
          </w:p>
        </w:tc>
        <w:tc>
          <w:tcPr>
            <w:tcW w:w="1076"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2DF40B32"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National</w:t>
            </w:r>
          </w:p>
        </w:tc>
        <w:tc>
          <w:tcPr>
            <w:tcW w:w="823"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065E4A92"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055"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6A5F6880"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EU I.D.E.A.S.</w:t>
            </w:r>
          </w:p>
        </w:tc>
        <w:tc>
          <w:tcPr>
            <w:tcW w:w="980" w:type="dxa"/>
            <w:tcBorders>
              <w:top w:val="nil"/>
              <w:left w:val="nil"/>
              <w:bottom w:val="nil"/>
              <w:right w:val="nil"/>
            </w:tcBorders>
            <w:shd w:val="clear" w:color="auto" w:fill="F2F2F2" w:themeFill="background1" w:themeFillShade="F2"/>
            <w:tcMar>
              <w:top w:w="15" w:type="dxa"/>
              <w:left w:w="15" w:type="dxa"/>
              <w:bottom w:w="0" w:type="dxa"/>
              <w:right w:w="15" w:type="dxa"/>
            </w:tcMar>
            <w:hideMark/>
          </w:tcPr>
          <w:p w14:paraId="6938EFCF"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EU I.D.E.A.S.</w:t>
            </w:r>
          </w:p>
        </w:tc>
        <w:tc>
          <w:tcPr>
            <w:tcW w:w="76" w:type="dxa"/>
            <w:tcBorders>
              <w:top w:val="nil"/>
              <w:left w:val="nil"/>
              <w:bottom w:val="nil"/>
              <w:right w:val="nil"/>
            </w:tcBorders>
            <w:shd w:val="clear" w:color="auto" w:fill="auto"/>
            <w:tcMar>
              <w:top w:w="15" w:type="dxa"/>
              <w:left w:w="15" w:type="dxa"/>
              <w:bottom w:w="0" w:type="dxa"/>
              <w:right w:w="15" w:type="dxa"/>
            </w:tcMar>
            <w:hideMark/>
          </w:tcPr>
          <w:p w14:paraId="32623B4A" w14:textId="77777777" w:rsidR="001B05FC" w:rsidRPr="00E541D8" w:rsidRDefault="001B05FC" w:rsidP="00310B5C">
            <w:pPr>
              <w:rPr>
                <w:sz w:val="20"/>
                <w:szCs w:val="20"/>
              </w:rPr>
            </w:pPr>
          </w:p>
        </w:tc>
      </w:tr>
      <w:tr w:rsidR="001B05FC" w:rsidRPr="00E541D8" w14:paraId="63C94C58" w14:textId="77777777" w:rsidTr="001B05FC">
        <w:trPr>
          <w:trHeight w:val="315"/>
        </w:trPr>
        <w:tc>
          <w:tcPr>
            <w:tcW w:w="977"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2B0338D1"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Funding</w:t>
            </w:r>
          </w:p>
        </w:tc>
        <w:tc>
          <w:tcPr>
            <w:tcW w:w="558"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35A77F92"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171"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75D5CF1D" w14:textId="07ECB93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EU Rights, Equality and Citizenship Programme</w:t>
            </w:r>
          </w:p>
        </w:tc>
        <w:tc>
          <w:tcPr>
            <w:tcW w:w="985"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26778BE4"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Hungarian Ministry of National Economy</w:t>
            </w:r>
          </w:p>
        </w:tc>
        <w:tc>
          <w:tcPr>
            <w:tcW w:w="1055"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533E6326" w14:textId="70747902"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EU Rights, Equality and Citizenship Programme</w:t>
            </w:r>
          </w:p>
        </w:tc>
        <w:tc>
          <w:tcPr>
            <w:tcW w:w="1129"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1B6E80EC"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Government</w:t>
            </w:r>
          </w:p>
        </w:tc>
        <w:tc>
          <w:tcPr>
            <w:tcW w:w="1038"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7954A896"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NGO</w:t>
            </w:r>
          </w:p>
        </w:tc>
        <w:tc>
          <w:tcPr>
            <w:tcW w:w="1076"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3FD46DF1" w14:textId="77777777" w:rsidR="001B05FC" w:rsidRPr="00E541D8" w:rsidRDefault="001B05FC" w:rsidP="00310B5C">
            <w:pPr>
              <w:rPr>
                <w:rFonts w:ascii="Calibri" w:hAnsi="Calibri" w:cs="Calibri"/>
                <w:color w:val="000000"/>
                <w:sz w:val="20"/>
                <w:szCs w:val="20"/>
              </w:rPr>
            </w:pPr>
          </w:p>
        </w:tc>
        <w:tc>
          <w:tcPr>
            <w:tcW w:w="823"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538A7C4F"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055"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02CFC0AA" w14:textId="75B3B49F"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Justice Programme of the European Union</w:t>
            </w:r>
          </w:p>
        </w:tc>
        <w:tc>
          <w:tcPr>
            <w:tcW w:w="980"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771EE4B0" w14:textId="3F53320B"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Justice Programme of the European Union</w:t>
            </w:r>
          </w:p>
        </w:tc>
        <w:tc>
          <w:tcPr>
            <w:tcW w:w="76" w:type="dxa"/>
            <w:tcBorders>
              <w:top w:val="nil"/>
              <w:left w:val="nil"/>
              <w:bottom w:val="nil"/>
              <w:right w:val="nil"/>
            </w:tcBorders>
            <w:shd w:val="clear" w:color="auto" w:fill="auto"/>
            <w:tcMar>
              <w:top w:w="15" w:type="dxa"/>
              <w:left w:w="15" w:type="dxa"/>
              <w:bottom w:w="0" w:type="dxa"/>
              <w:right w:w="15" w:type="dxa"/>
            </w:tcMar>
            <w:hideMark/>
          </w:tcPr>
          <w:p w14:paraId="19605C98" w14:textId="77777777" w:rsidR="001B05FC" w:rsidRPr="00E541D8" w:rsidRDefault="001B05FC" w:rsidP="00310B5C">
            <w:pPr>
              <w:rPr>
                <w:sz w:val="20"/>
                <w:szCs w:val="20"/>
              </w:rPr>
            </w:pPr>
          </w:p>
        </w:tc>
      </w:tr>
      <w:tr w:rsidR="001B05FC" w:rsidRPr="00E541D8" w14:paraId="255C3E0B" w14:textId="77777777" w:rsidTr="001B05FC">
        <w:trPr>
          <w:trHeight w:val="315"/>
        </w:trPr>
        <w:tc>
          <w:tcPr>
            <w:tcW w:w="977"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3C82AE5A"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Launch date</w:t>
            </w:r>
          </w:p>
        </w:tc>
        <w:tc>
          <w:tcPr>
            <w:tcW w:w="558"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7C677920"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171"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289EB6F0"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Oct 2018</w:t>
            </w:r>
          </w:p>
        </w:tc>
        <w:tc>
          <w:tcPr>
            <w:tcW w:w="985"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6BDCE7D5"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Oct 2016</w:t>
            </w:r>
          </w:p>
        </w:tc>
        <w:tc>
          <w:tcPr>
            <w:tcW w:w="1055"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14B6BDA2" w14:textId="0949FBE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Sep 2020</w:t>
            </w:r>
          </w:p>
        </w:tc>
        <w:tc>
          <w:tcPr>
            <w:tcW w:w="1129"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4195AF04" w14:textId="2EA0A0E9"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Feb 2012</w:t>
            </w:r>
          </w:p>
        </w:tc>
        <w:tc>
          <w:tcPr>
            <w:tcW w:w="1038"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26680B04" w14:textId="216B21C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Feb 2019</w:t>
            </w:r>
          </w:p>
        </w:tc>
        <w:tc>
          <w:tcPr>
            <w:tcW w:w="1076"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007B54C6" w14:textId="0C050EA0"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Nov 2014</w:t>
            </w:r>
          </w:p>
        </w:tc>
        <w:tc>
          <w:tcPr>
            <w:tcW w:w="823"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166FEBE0"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055"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5EB8AFD7" w14:textId="3F4CF4C9"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Nov 2017</w:t>
            </w:r>
          </w:p>
        </w:tc>
        <w:tc>
          <w:tcPr>
            <w:tcW w:w="980"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6E3EAAAD"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Oct 2017</w:t>
            </w:r>
          </w:p>
        </w:tc>
        <w:tc>
          <w:tcPr>
            <w:tcW w:w="76" w:type="dxa"/>
            <w:tcBorders>
              <w:top w:val="nil"/>
              <w:left w:val="nil"/>
              <w:bottom w:val="nil"/>
              <w:right w:val="nil"/>
            </w:tcBorders>
            <w:shd w:val="clear" w:color="auto" w:fill="auto"/>
            <w:tcMar>
              <w:top w:w="15" w:type="dxa"/>
              <w:left w:w="15" w:type="dxa"/>
              <w:bottom w:w="0" w:type="dxa"/>
              <w:right w:w="15" w:type="dxa"/>
            </w:tcMar>
            <w:hideMark/>
          </w:tcPr>
          <w:p w14:paraId="6C40072A" w14:textId="77777777" w:rsidR="001B05FC" w:rsidRPr="00E541D8" w:rsidRDefault="001B05FC" w:rsidP="00310B5C">
            <w:pPr>
              <w:rPr>
                <w:sz w:val="20"/>
                <w:szCs w:val="20"/>
              </w:rPr>
            </w:pPr>
          </w:p>
        </w:tc>
      </w:tr>
      <w:tr w:rsidR="001B05FC" w:rsidRPr="00E541D8" w14:paraId="122561DA" w14:textId="77777777" w:rsidTr="001B05FC">
        <w:trPr>
          <w:trHeight w:val="315"/>
        </w:trPr>
        <w:tc>
          <w:tcPr>
            <w:tcW w:w="977"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5EC4E7DD"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Signatories</w:t>
            </w:r>
          </w:p>
        </w:tc>
        <w:tc>
          <w:tcPr>
            <w:tcW w:w="558"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42FFE825"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171"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6E79ABA1"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80</w:t>
            </w:r>
          </w:p>
        </w:tc>
        <w:tc>
          <w:tcPr>
            <w:tcW w:w="985"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4CBA37AC"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50</w:t>
            </w:r>
          </w:p>
        </w:tc>
        <w:tc>
          <w:tcPr>
            <w:tcW w:w="1055"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1EF6A8D0"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10</w:t>
            </w:r>
          </w:p>
        </w:tc>
        <w:tc>
          <w:tcPr>
            <w:tcW w:w="1129"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77B6F98B"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305</w:t>
            </w:r>
          </w:p>
        </w:tc>
        <w:tc>
          <w:tcPr>
            <w:tcW w:w="1038"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41903C5D"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41</w:t>
            </w:r>
          </w:p>
        </w:tc>
        <w:tc>
          <w:tcPr>
            <w:tcW w:w="1076"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556880CB" w14:textId="77777777" w:rsidR="001B05FC" w:rsidRPr="00E541D8" w:rsidRDefault="001B05FC" w:rsidP="00310B5C">
            <w:pPr>
              <w:rPr>
                <w:rFonts w:ascii="Calibri" w:hAnsi="Calibri" w:cs="Calibri"/>
                <w:color w:val="000000"/>
                <w:sz w:val="20"/>
                <w:szCs w:val="20"/>
              </w:rPr>
            </w:pPr>
          </w:p>
        </w:tc>
        <w:tc>
          <w:tcPr>
            <w:tcW w:w="823"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2521D0C0"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055"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1D5229E6"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60</w:t>
            </w:r>
          </w:p>
        </w:tc>
        <w:tc>
          <w:tcPr>
            <w:tcW w:w="980"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741E0F5A"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42</w:t>
            </w:r>
          </w:p>
        </w:tc>
        <w:tc>
          <w:tcPr>
            <w:tcW w:w="76" w:type="dxa"/>
            <w:tcBorders>
              <w:top w:val="nil"/>
              <w:left w:val="nil"/>
              <w:bottom w:val="nil"/>
              <w:right w:val="nil"/>
            </w:tcBorders>
            <w:shd w:val="clear" w:color="auto" w:fill="auto"/>
            <w:tcMar>
              <w:top w:w="15" w:type="dxa"/>
              <w:left w:w="15" w:type="dxa"/>
              <w:bottom w:w="0" w:type="dxa"/>
              <w:right w:w="15" w:type="dxa"/>
            </w:tcMar>
            <w:hideMark/>
          </w:tcPr>
          <w:p w14:paraId="1838E468" w14:textId="77777777" w:rsidR="001B05FC" w:rsidRPr="00E541D8" w:rsidRDefault="001B05FC" w:rsidP="00310B5C">
            <w:pPr>
              <w:rPr>
                <w:sz w:val="20"/>
                <w:szCs w:val="20"/>
              </w:rPr>
            </w:pPr>
          </w:p>
        </w:tc>
      </w:tr>
      <w:tr w:rsidR="001B05FC" w:rsidRPr="00E541D8" w14:paraId="5162E623" w14:textId="77777777" w:rsidTr="001B05FC">
        <w:trPr>
          <w:trHeight w:val="315"/>
        </w:trPr>
        <w:tc>
          <w:tcPr>
            <w:tcW w:w="977"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3F27AC3B" w14:textId="045FF82E"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Foreign Signatories</w:t>
            </w:r>
          </w:p>
        </w:tc>
        <w:tc>
          <w:tcPr>
            <w:tcW w:w="558"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70072A93"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171"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5DF92CC1" w14:textId="44FFC432"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80%</w:t>
            </w:r>
          </w:p>
        </w:tc>
        <w:tc>
          <w:tcPr>
            <w:tcW w:w="985"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3B36E2EC" w14:textId="104E48A8"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 xml:space="preserve">75% </w:t>
            </w:r>
          </w:p>
        </w:tc>
        <w:tc>
          <w:tcPr>
            <w:tcW w:w="1055"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43AC4669" w14:textId="32435E78"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90%</w:t>
            </w:r>
          </w:p>
        </w:tc>
        <w:tc>
          <w:tcPr>
            <w:tcW w:w="1129"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4315F958" w14:textId="7F795D8F"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66%</w:t>
            </w:r>
          </w:p>
        </w:tc>
        <w:tc>
          <w:tcPr>
            <w:tcW w:w="1038"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3D0B7E95" w14:textId="39EE4526"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40%</w:t>
            </w:r>
          </w:p>
        </w:tc>
        <w:tc>
          <w:tcPr>
            <w:tcW w:w="1076"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7D03FD41" w14:textId="734C3D8B"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 xml:space="preserve">75%  </w:t>
            </w:r>
          </w:p>
        </w:tc>
        <w:tc>
          <w:tcPr>
            <w:tcW w:w="823"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1D17B2BB"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055"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31307D30" w14:textId="63E1CF64"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25%</w:t>
            </w:r>
          </w:p>
        </w:tc>
        <w:tc>
          <w:tcPr>
            <w:tcW w:w="980"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2C3F5854" w14:textId="7AE9FA5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45%</w:t>
            </w:r>
          </w:p>
        </w:tc>
        <w:tc>
          <w:tcPr>
            <w:tcW w:w="76" w:type="dxa"/>
            <w:tcBorders>
              <w:top w:val="nil"/>
              <w:left w:val="nil"/>
              <w:bottom w:val="nil"/>
              <w:right w:val="nil"/>
            </w:tcBorders>
            <w:shd w:val="clear" w:color="auto" w:fill="auto"/>
            <w:tcMar>
              <w:top w:w="15" w:type="dxa"/>
              <w:left w:w="15" w:type="dxa"/>
              <w:bottom w:w="0" w:type="dxa"/>
              <w:right w:w="15" w:type="dxa"/>
            </w:tcMar>
            <w:hideMark/>
          </w:tcPr>
          <w:p w14:paraId="34B28BDC" w14:textId="77777777" w:rsidR="001B05FC" w:rsidRPr="00E541D8" w:rsidRDefault="001B05FC" w:rsidP="00310B5C">
            <w:pPr>
              <w:rPr>
                <w:sz w:val="20"/>
                <w:szCs w:val="20"/>
              </w:rPr>
            </w:pPr>
          </w:p>
        </w:tc>
      </w:tr>
      <w:tr w:rsidR="001B05FC" w:rsidRPr="00E541D8" w14:paraId="0898E66D" w14:textId="77777777" w:rsidTr="001B05FC">
        <w:trPr>
          <w:trHeight w:val="315"/>
        </w:trPr>
        <w:tc>
          <w:tcPr>
            <w:tcW w:w="977"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54D49779"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Covered Diversity Dimensions</w:t>
            </w:r>
          </w:p>
        </w:tc>
        <w:tc>
          <w:tcPr>
            <w:tcW w:w="558"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7AC3D359"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171"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458FE7BB"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985"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3CB9C813"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6</w:t>
            </w:r>
          </w:p>
        </w:tc>
        <w:tc>
          <w:tcPr>
            <w:tcW w:w="1055"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3E3D6442"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8</w:t>
            </w:r>
          </w:p>
        </w:tc>
        <w:tc>
          <w:tcPr>
            <w:tcW w:w="1129"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543C0C45"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8</w:t>
            </w:r>
          </w:p>
        </w:tc>
        <w:tc>
          <w:tcPr>
            <w:tcW w:w="1038"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1EAF9A2C"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7</w:t>
            </w:r>
          </w:p>
        </w:tc>
        <w:tc>
          <w:tcPr>
            <w:tcW w:w="1076"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51BA3B10" w14:textId="77777777" w:rsidR="001B05FC" w:rsidRPr="00E541D8" w:rsidRDefault="001B05FC" w:rsidP="00310B5C">
            <w:pPr>
              <w:rPr>
                <w:rFonts w:ascii="Calibri" w:hAnsi="Calibri" w:cs="Calibri"/>
                <w:color w:val="000000"/>
                <w:sz w:val="20"/>
                <w:szCs w:val="20"/>
              </w:rPr>
            </w:pPr>
          </w:p>
        </w:tc>
        <w:tc>
          <w:tcPr>
            <w:tcW w:w="823"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7078ADAD"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055"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60ABB005"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8</w:t>
            </w:r>
          </w:p>
        </w:tc>
        <w:tc>
          <w:tcPr>
            <w:tcW w:w="980" w:type="dxa"/>
            <w:tcBorders>
              <w:top w:val="nil"/>
              <w:left w:val="nil"/>
              <w:bottom w:val="nil"/>
              <w:right w:val="nil"/>
            </w:tcBorders>
            <w:shd w:val="clear" w:color="auto" w:fill="BFBFBF" w:themeFill="background1" w:themeFillShade="BF"/>
            <w:tcMar>
              <w:top w:w="15" w:type="dxa"/>
              <w:left w:w="15" w:type="dxa"/>
              <w:bottom w:w="0" w:type="dxa"/>
              <w:right w:w="15" w:type="dxa"/>
            </w:tcMar>
            <w:hideMark/>
          </w:tcPr>
          <w:p w14:paraId="358C987E" w14:textId="77777777" w:rsidR="001B05FC" w:rsidRPr="00E541D8" w:rsidRDefault="001B05FC" w:rsidP="00310B5C">
            <w:pPr>
              <w:rPr>
                <w:rFonts w:ascii="Calibri" w:hAnsi="Calibri" w:cs="Calibri"/>
                <w:color w:val="000000"/>
                <w:sz w:val="20"/>
                <w:szCs w:val="20"/>
              </w:rPr>
            </w:pPr>
          </w:p>
        </w:tc>
        <w:tc>
          <w:tcPr>
            <w:tcW w:w="76" w:type="dxa"/>
            <w:tcBorders>
              <w:top w:val="nil"/>
              <w:left w:val="nil"/>
              <w:bottom w:val="nil"/>
              <w:right w:val="nil"/>
            </w:tcBorders>
            <w:shd w:val="clear" w:color="auto" w:fill="auto"/>
            <w:tcMar>
              <w:top w:w="15" w:type="dxa"/>
              <w:left w:w="15" w:type="dxa"/>
              <w:bottom w:w="0" w:type="dxa"/>
              <w:right w:w="15" w:type="dxa"/>
            </w:tcMar>
            <w:hideMark/>
          </w:tcPr>
          <w:p w14:paraId="6DB2E654" w14:textId="77777777" w:rsidR="001B05FC" w:rsidRPr="00E541D8" w:rsidRDefault="001B05FC" w:rsidP="00310B5C">
            <w:pPr>
              <w:rPr>
                <w:sz w:val="20"/>
                <w:szCs w:val="20"/>
              </w:rPr>
            </w:pPr>
          </w:p>
        </w:tc>
      </w:tr>
      <w:tr w:rsidR="001B05FC" w:rsidRPr="00E541D8" w14:paraId="21AAD634" w14:textId="77777777" w:rsidTr="001B05FC">
        <w:trPr>
          <w:trHeight w:val="315"/>
        </w:trPr>
        <w:tc>
          <w:tcPr>
            <w:tcW w:w="977"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6CCC926D"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Covered Diversity Dimensions</w:t>
            </w:r>
          </w:p>
        </w:tc>
        <w:tc>
          <w:tcPr>
            <w:tcW w:w="558"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7F1A4D97"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0</w:t>
            </w:r>
          </w:p>
        </w:tc>
        <w:tc>
          <w:tcPr>
            <w:tcW w:w="1171"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2F1F8C92" w14:textId="28EF4D3C"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No particular dimensions mentioned</w:t>
            </w:r>
          </w:p>
        </w:tc>
        <w:tc>
          <w:tcPr>
            <w:tcW w:w="985"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68609A79"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 xml:space="preserve">Race, skin colour, age, disability, sexual orientation, </w:t>
            </w:r>
            <w:proofErr w:type="gramStart"/>
            <w:r w:rsidRPr="00E541D8">
              <w:rPr>
                <w:rFonts w:ascii="Calibri" w:hAnsi="Calibri" w:cs="Calibri"/>
                <w:color w:val="000000"/>
                <w:sz w:val="20"/>
                <w:szCs w:val="20"/>
              </w:rPr>
              <w:t>religion</w:t>
            </w:r>
            <w:proofErr w:type="gramEnd"/>
            <w:r w:rsidRPr="00E541D8">
              <w:rPr>
                <w:rFonts w:ascii="Calibri" w:hAnsi="Calibri" w:cs="Calibri"/>
                <w:color w:val="000000"/>
                <w:sz w:val="20"/>
                <w:szCs w:val="20"/>
              </w:rPr>
              <w:t xml:space="preserve"> or political views</w:t>
            </w:r>
          </w:p>
        </w:tc>
        <w:tc>
          <w:tcPr>
            <w:tcW w:w="1055"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5D130133"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 xml:space="preserve">Sex, race, colour, ethnic or social origin, genetic features, language, </w:t>
            </w:r>
            <w:proofErr w:type="gramStart"/>
            <w:r w:rsidRPr="00E541D8">
              <w:rPr>
                <w:rFonts w:ascii="Calibri" w:hAnsi="Calibri" w:cs="Calibri"/>
                <w:color w:val="000000"/>
                <w:sz w:val="20"/>
                <w:szCs w:val="20"/>
              </w:rPr>
              <w:t>religion</w:t>
            </w:r>
            <w:proofErr w:type="gramEnd"/>
            <w:r w:rsidRPr="00E541D8">
              <w:rPr>
                <w:rFonts w:ascii="Calibri" w:hAnsi="Calibri" w:cs="Calibri"/>
                <w:color w:val="000000"/>
                <w:sz w:val="20"/>
                <w:szCs w:val="20"/>
              </w:rPr>
              <w:t xml:space="preserve"> or belief, political or any other opinion, membership of a national minority, property, birth, disability, age or sexual orientation</w:t>
            </w:r>
          </w:p>
        </w:tc>
        <w:tc>
          <w:tcPr>
            <w:tcW w:w="1129"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3D21FB49" w14:textId="2F8904EA"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 xml:space="preserve">Gender, age, (dis)ability, health, race, nationality, ethnic origin, religion, creed, religiousness, political views, union membership, psychosexual orientation, sexual identity, family </w:t>
            </w:r>
            <w:proofErr w:type="gramStart"/>
            <w:r w:rsidRPr="00E541D8">
              <w:rPr>
                <w:rFonts w:ascii="Calibri" w:hAnsi="Calibri" w:cs="Calibri"/>
                <w:color w:val="000000"/>
                <w:sz w:val="20"/>
                <w:szCs w:val="20"/>
              </w:rPr>
              <w:t>status ,</w:t>
            </w:r>
            <w:proofErr w:type="gramEnd"/>
            <w:r w:rsidRPr="00E541D8">
              <w:rPr>
                <w:rFonts w:ascii="Calibri" w:hAnsi="Calibri" w:cs="Calibri"/>
                <w:color w:val="000000"/>
                <w:sz w:val="20"/>
                <w:szCs w:val="20"/>
              </w:rPr>
              <w:t xml:space="preserve"> lifestyle, employment form</w:t>
            </w:r>
          </w:p>
        </w:tc>
        <w:tc>
          <w:tcPr>
            <w:tcW w:w="1038"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5BB1FFBA"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Gender, ethnic background, skin colour, age, disability, sexual orientation, gender identity and religious or political views;</w:t>
            </w:r>
          </w:p>
        </w:tc>
        <w:tc>
          <w:tcPr>
            <w:tcW w:w="1076"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56AC651A"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Gender</w:t>
            </w:r>
            <w:r w:rsidRPr="00E541D8">
              <w:rPr>
                <w:rFonts w:ascii="Calibri" w:hAnsi="Calibri" w:cs="Calibri"/>
                <w:color w:val="000000"/>
                <w:sz w:val="20"/>
                <w:szCs w:val="20"/>
              </w:rPr>
              <w:br/>
              <w:t>ethnicity</w:t>
            </w:r>
            <w:r w:rsidRPr="00E541D8">
              <w:rPr>
                <w:rFonts w:ascii="Calibri" w:hAnsi="Calibri" w:cs="Calibri"/>
                <w:color w:val="000000"/>
                <w:sz w:val="20"/>
                <w:szCs w:val="20"/>
              </w:rPr>
              <w:br/>
              <w:t>nationality</w:t>
            </w:r>
            <w:r w:rsidRPr="00E541D8">
              <w:rPr>
                <w:rFonts w:ascii="Calibri" w:hAnsi="Calibri" w:cs="Calibri"/>
                <w:color w:val="000000"/>
                <w:sz w:val="20"/>
                <w:szCs w:val="20"/>
              </w:rPr>
              <w:br/>
              <w:t>religion</w:t>
            </w:r>
            <w:r w:rsidRPr="00E541D8">
              <w:rPr>
                <w:rFonts w:ascii="Calibri" w:hAnsi="Calibri" w:cs="Calibri"/>
                <w:color w:val="000000"/>
                <w:sz w:val="20"/>
                <w:szCs w:val="20"/>
              </w:rPr>
              <w:br/>
              <w:t>disability</w:t>
            </w:r>
            <w:r w:rsidRPr="00E541D8">
              <w:rPr>
                <w:rFonts w:ascii="Calibri" w:hAnsi="Calibri" w:cs="Calibri"/>
                <w:color w:val="000000"/>
                <w:sz w:val="20"/>
                <w:szCs w:val="20"/>
              </w:rPr>
              <w:br/>
              <w:t>age</w:t>
            </w:r>
            <w:r w:rsidRPr="00E541D8">
              <w:rPr>
                <w:rFonts w:ascii="Calibri" w:hAnsi="Calibri" w:cs="Calibri"/>
                <w:color w:val="000000"/>
                <w:sz w:val="20"/>
                <w:szCs w:val="20"/>
              </w:rPr>
              <w:br/>
              <w:t>sexual orientation</w:t>
            </w:r>
          </w:p>
        </w:tc>
        <w:tc>
          <w:tcPr>
            <w:tcW w:w="823"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2EAF6AD1" w14:textId="77777777" w:rsidR="001B05FC" w:rsidRPr="00E541D8" w:rsidRDefault="001B05FC" w:rsidP="00310B5C">
            <w:pPr>
              <w:rPr>
                <w:rFonts w:ascii="Calibri" w:hAnsi="Calibri" w:cs="Calibri"/>
                <w:color w:val="000000"/>
                <w:sz w:val="20"/>
                <w:szCs w:val="20"/>
              </w:rPr>
            </w:pPr>
          </w:p>
        </w:tc>
        <w:tc>
          <w:tcPr>
            <w:tcW w:w="1055"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1AA19BA2"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 xml:space="preserve">Sex, race, colour, ethnic or social origin, genetic features, language, </w:t>
            </w:r>
            <w:proofErr w:type="gramStart"/>
            <w:r w:rsidRPr="00E541D8">
              <w:rPr>
                <w:rFonts w:ascii="Calibri" w:hAnsi="Calibri" w:cs="Calibri"/>
                <w:color w:val="000000"/>
                <w:sz w:val="20"/>
                <w:szCs w:val="20"/>
              </w:rPr>
              <w:t>religion</w:t>
            </w:r>
            <w:proofErr w:type="gramEnd"/>
            <w:r w:rsidRPr="00E541D8">
              <w:rPr>
                <w:rFonts w:ascii="Calibri" w:hAnsi="Calibri" w:cs="Calibri"/>
                <w:color w:val="000000"/>
                <w:sz w:val="20"/>
                <w:szCs w:val="20"/>
              </w:rPr>
              <w:t xml:space="preserve"> or belief, political or any other opinion, membership of a national minority, property, birth, disability, age or sexual orientation</w:t>
            </w:r>
          </w:p>
        </w:tc>
        <w:tc>
          <w:tcPr>
            <w:tcW w:w="980" w:type="dxa"/>
            <w:tcBorders>
              <w:top w:val="nil"/>
              <w:left w:val="nil"/>
              <w:bottom w:val="nil"/>
              <w:right w:val="nil"/>
            </w:tcBorders>
            <w:shd w:val="clear" w:color="auto" w:fill="D9D9D9" w:themeFill="background1" w:themeFillShade="D9"/>
            <w:tcMar>
              <w:top w:w="15" w:type="dxa"/>
              <w:left w:w="15" w:type="dxa"/>
              <w:bottom w:w="0" w:type="dxa"/>
              <w:right w:w="15" w:type="dxa"/>
            </w:tcMar>
            <w:hideMark/>
          </w:tcPr>
          <w:p w14:paraId="44DC692C" w14:textId="77777777" w:rsidR="001B05FC" w:rsidRPr="00E541D8" w:rsidRDefault="001B05FC" w:rsidP="00310B5C">
            <w:pPr>
              <w:rPr>
                <w:rFonts w:ascii="Calibri" w:hAnsi="Calibri" w:cs="Calibri"/>
                <w:color w:val="000000"/>
                <w:sz w:val="20"/>
                <w:szCs w:val="20"/>
              </w:rPr>
            </w:pPr>
            <w:r w:rsidRPr="00E541D8">
              <w:rPr>
                <w:rFonts w:ascii="Calibri" w:hAnsi="Calibri" w:cs="Calibri"/>
                <w:color w:val="000000"/>
                <w:sz w:val="20"/>
                <w:szCs w:val="20"/>
              </w:rPr>
              <w:t xml:space="preserve">race, ethnicity, age, gender, religion, </w:t>
            </w:r>
            <w:proofErr w:type="gramStart"/>
            <w:r w:rsidRPr="00E541D8">
              <w:rPr>
                <w:rFonts w:ascii="Calibri" w:hAnsi="Calibri" w:cs="Calibri"/>
                <w:color w:val="000000"/>
                <w:sz w:val="20"/>
                <w:szCs w:val="20"/>
              </w:rPr>
              <w:t>disability</w:t>
            </w:r>
            <w:proofErr w:type="gramEnd"/>
            <w:r w:rsidRPr="00E541D8">
              <w:rPr>
                <w:rFonts w:ascii="Calibri" w:hAnsi="Calibri" w:cs="Calibri"/>
                <w:color w:val="000000"/>
                <w:sz w:val="20"/>
                <w:szCs w:val="20"/>
              </w:rPr>
              <w:t xml:space="preserve"> or sexual orientation</w:t>
            </w:r>
          </w:p>
        </w:tc>
        <w:tc>
          <w:tcPr>
            <w:tcW w:w="76" w:type="dxa"/>
            <w:tcBorders>
              <w:top w:val="nil"/>
              <w:left w:val="nil"/>
              <w:bottom w:val="nil"/>
              <w:right w:val="nil"/>
            </w:tcBorders>
            <w:shd w:val="clear" w:color="auto" w:fill="auto"/>
            <w:tcMar>
              <w:top w:w="15" w:type="dxa"/>
              <w:left w:w="15" w:type="dxa"/>
              <w:bottom w:w="0" w:type="dxa"/>
              <w:right w:w="15" w:type="dxa"/>
            </w:tcMar>
            <w:hideMark/>
          </w:tcPr>
          <w:p w14:paraId="38F581D2" w14:textId="77777777" w:rsidR="001B05FC" w:rsidRPr="00E541D8" w:rsidRDefault="001B05FC" w:rsidP="00310B5C">
            <w:pPr>
              <w:rPr>
                <w:sz w:val="20"/>
                <w:szCs w:val="20"/>
              </w:rPr>
            </w:pPr>
          </w:p>
        </w:tc>
      </w:tr>
    </w:tbl>
    <w:p w14:paraId="6C349E0E" w14:textId="156AD933" w:rsidR="00A16CD5" w:rsidRPr="00E541D8" w:rsidRDefault="00B23ACD">
      <w:pPr>
        <w:rPr>
          <w:rFonts w:eastAsia="TimesNewRomanPSMT" w:cstheme="minorHAnsi"/>
        </w:rPr>
      </w:pPr>
      <w:r w:rsidRPr="00E541D8">
        <w:rPr>
          <w:rFonts w:eastAsia="TimesNewRomanPSMT" w:cstheme="minorHAnsi"/>
        </w:rPr>
        <w:t xml:space="preserve"> </w:t>
      </w:r>
      <w:r w:rsidR="00556512" w:rsidRPr="00E541D8">
        <w:rPr>
          <w:rFonts w:eastAsia="TimesNewRomanPSMT" w:cstheme="minorHAnsi"/>
        </w:rPr>
        <w:t>Table 1: Diversity Charters across select CEE countries (own elaboration)</w:t>
      </w:r>
    </w:p>
    <w:p w14:paraId="5A0430E0" w14:textId="77777777" w:rsidR="00A16CD5" w:rsidRPr="00E541D8" w:rsidRDefault="00A16CD5">
      <w:pPr>
        <w:rPr>
          <w:rFonts w:eastAsia="TimesNewRomanPSMT" w:cstheme="minorHAnsi"/>
        </w:rPr>
      </w:pPr>
    </w:p>
    <w:p w14:paraId="6253E177" w14:textId="77777777" w:rsidR="001C2716" w:rsidRPr="00E541D8" w:rsidRDefault="00A16CD5" w:rsidP="001C2716">
      <w:pPr>
        <w:pStyle w:val="Default"/>
        <w:spacing w:line="360" w:lineRule="auto"/>
        <w:jc w:val="both"/>
        <w:rPr>
          <w:rFonts w:asciiTheme="minorHAnsi" w:hAnsiTheme="minorHAnsi" w:cstheme="minorHAnsi"/>
          <w:color w:val="auto"/>
          <w:lang w:val="en-GB"/>
        </w:rPr>
      </w:pPr>
      <w:r w:rsidRPr="00E541D8">
        <w:rPr>
          <w:rFonts w:asciiTheme="minorHAnsi" w:hAnsiTheme="minorHAnsi" w:cstheme="minorHAnsi"/>
          <w:color w:val="auto"/>
          <w:lang w:val="en-GB"/>
        </w:rPr>
        <w:t>Additionally, most countries who did install diversity charters, follow the etic diversity</w:t>
      </w:r>
      <w:r w:rsidR="001F1043" w:rsidRPr="00E541D8">
        <w:rPr>
          <w:rFonts w:asciiTheme="minorHAnsi" w:hAnsiTheme="minorHAnsi" w:cstheme="minorHAnsi"/>
          <w:color w:val="auto"/>
          <w:lang w:val="en-GB"/>
        </w:rPr>
        <w:t xml:space="preserve"> </w:t>
      </w:r>
      <w:r w:rsidRPr="00E541D8">
        <w:rPr>
          <w:rFonts w:asciiTheme="minorHAnsi" w:hAnsiTheme="minorHAnsi" w:cstheme="minorHAnsi"/>
          <w:color w:val="auto"/>
          <w:lang w:val="en-GB"/>
        </w:rPr>
        <w:t xml:space="preserve">dimensions rather closely (minimum of six out eight diversity dimensions. </w:t>
      </w:r>
    </w:p>
    <w:p w14:paraId="45708189" w14:textId="77777777" w:rsidR="001B05FC" w:rsidRPr="00E541D8" w:rsidRDefault="001B05FC" w:rsidP="001C2716">
      <w:pPr>
        <w:pStyle w:val="Default"/>
        <w:spacing w:line="360" w:lineRule="auto"/>
        <w:jc w:val="both"/>
        <w:rPr>
          <w:rFonts w:asciiTheme="minorHAnsi" w:hAnsiTheme="minorHAnsi" w:cstheme="minorHAnsi"/>
          <w:lang w:val="en-GB"/>
        </w:rPr>
      </w:pPr>
    </w:p>
    <w:p w14:paraId="3FDD8598" w14:textId="2D847E61" w:rsidR="001B05FC" w:rsidRPr="00E541D8" w:rsidRDefault="001B05FC" w:rsidP="001C2716">
      <w:pPr>
        <w:pStyle w:val="Default"/>
        <w:spacing w:line="360" w:lineRule="auto"/>
        <w:jc w:val="both"/>
        <w:rPr>
          <w:rFonts w:asciiTheme="minorHAnsi" w:hAnsiTheme="minorHAnsi" w:cstheme="minorHAnsi"/>
          <w:b/>
          <w:bCs/>
          <w:lang w:val="en-GB"/>
        </w:rPr>
      </w:pPr>
      <w:r w:rsidRPr="00E541D8">
        <w:rPr>
          <w:rFonts w:asciiTheme="minorHAnsi" w:hAnsiTheme="minorHAnsi" w:cstheme="minorHAnsi"/>
          <w:b/>
          <w:bCs/>
          <w:lang w:val="en-GB"/>
        </w:rPr>
        <w:t>Meso-level Impacts</w:t>
      </w:r>
    </w:p>
    <w:p w14:paraId="1CE42300" w14:textId="77777777" w:rsidR="001B05FC" w:rsidRPr="00E541D8" w:rsidRDefault="00A67464"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This macro level-analysis is accompanied by a meso-level exemplary investigation of f</w:t>
      </w:r>
      <w:r w:rsidR="00C56929" w:rsidRPr="00E541D8">
        <w:rPr>
          <w:rFonts w:asciiTheme="minorHAnsi" w:hAnsiTheme="minorHAnsi" w:cstheme="minorHAnsi"/>
          <w:lang w:val="en-GB"/>
        </w:rPr>
        <w:t xml:space="preserve">ive </w:t>
      </w:r>
      <w:r w:rsidRPr="00E541D8">
        <w:rPr>
          <w:rFonts w:asciiTheme="minorHAnsi" w:hAnsiTheme="minorHAnsi" w:cstheme="minorHAnsi"/>
          <w:lang w:val="en-GB"/>
        </w:rPr>
        <w:t xml:space="preserve">German MNCs and their subsidiaries in the Czech Republic concerning their EDI initiatives and their </w:t>
      </w:r>
      <w:r w:rsidR="00C56929" w:rsidRPr="00E541D8">
        <w:rPr>
          <w:rFonts w:asciiTheme="minorHAnsi" w:hAnsiTheme="minorHAnsi" w:cstheme="minorHAnsi"/>
          <w:lang w:val="en-GB"/>
        </w:rPr>
        <w:t xml:space="preserve">possible </w:t>
      </w:r>
      <w:r w:rsidRPr="00E541D8">
        <w:rPr>
          <w:rFonts w:asciiTheme="minorHAnsi" w:hAnsiTheme="minorHAnsi" w:cstheme="minorHAnsi"/>
          <w:lang w:val="en-GB"/>
        </w:rPr>
        <w:t xml:space="preserve">micro-effects. </w:t>
      </w:r>
      <w:r w:rsidR="00C56929" w:rsidRPr="00E541D8">
        <w:rPr>
          <w:rFonts w:asciiTheme="minorHAnsi" w:hAnsiTheme="minorHAnsi" w:cstheme="minorHAnsi"/>
          <w:lang w:val="en-GB"/>
        </w:rPr>
        <w:t xml:space="preserve">We apply a qualitative methodology to assess the social reality within Western, more precisely German, MNCs and their CEE, here Czech, subsidiaries. </w:t>
      </w:r>
    </w:p>
    <w:tbl>
      <w:tblPr>
        <w:tblStyle w:val="Tabellenraster"/>
        <w:tblW w:w="0" w:type="auto"/>
        <w:tblLook w:val="04A0" w:firstRow="1" w:lastRow="0" w:firstColumn="1" w:lastColumn="0" w:noHBand="0" w:noVBand="1"/>
      </w:tblPr>
      <w:tblGrid>
        <w:gridCol w:w="1812"/>
        <w:gridCol w:w="2875"/>
        <w:gridCol w:w="3672"/>
      </w:tblGrid>
      <w:tr w:rsidR="001B05FC" w:rsidRPr="00E541D8" w14:paraId="73DD3BE9" w14:textId="77777777" w:rsidTr="00556512">
        <w:tc>
          <w:tcPr>
            <w:tcW w:w="1812" w:type="dxa"/>
          </w:tcPr>
          <w:p w14:paraId="0DFC5AAF" w14:textId="57FB6E19" w:rsidR="001B05FC" w:rsidRPr="00E541D8" w:rsidRDefault="001B05FC"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lastRenderedPageBreak/>
              <w:t>Company</w:t>
            </w:r>
          </w:p>
        </w:tc>
        <w:tc>
          <w:tcPr>
            <w:tcW w:w="2875" w:type="dxa"/>
          </w:tcPr>
          <w:p w14:paraId="252FB6BB" w14:textId="1173F8EE" w:rsidR="001B05FC" w:rsidRPr="00E541D8" w:rsidRDefault="001B05FC"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Industry</w:t>
            </w:r>
          </w:p>
        </w:tc>
        <w:tc>
          <w:tcPr>
            <w:tcW w:w="3672" w:type="dxa"/>
          </w:tcPr>
          <w:p w14:paraId="3281DE87" w14:textId="38B43D08"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2023 Employees (global)</w:t>
            </w:r>
          </w:p>
        </w:tc>
      </w:tr>
      <w:tr w:rsidR="001B05FC" w:rsidRPr="00E541D8" w14:paraId="7C806AD8" w14:textId="77777777" w:rsidTr="00556512">
        <w:tc>
          <w:tcPr>
            <w:tcW w:w="1812" w:type="dxa"/>
          </w:tcPr>
          <w:p w14:paraId="0950567B" w14:textId="63BB9656" w:rsidR="001B05FC" w:rsidRPr="00E541D8" w:rsidRDefault="001B05FC"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1</w:t>
            </w:r>
          </w:p>
        </w:tc>
        <w:tc>
          <w:tcPr>
            <w:tcW w:w="2875" w:type="dxa"/>
          </w:tcPr>
          <w:p w14:paraId="6A125179" w14:textId="36809560"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Technology/</w:t>
            </w:r>
            <w:r w:rsidR="001B05FC" w:rsidRPr="00E541D8">
              <w:rPr>
                <w:rFonts w:asciiTheme="minorHAnsi" w:hAnsiTheme="minorHAnsi" w:cstheme="minorHAnsi"/>
                <w:lang w:val="en-GB"/>
              </w:rPr>
              <w:t>Manufacturing</w:t>
            </w:r>
          </w:p>
        </w:tc>
        <w:tc>
          <w:tcPr>
            <w:tcW w:w="3672" w:type="dxa"/>
          </w:tcPr>
          <w:p w14:paraId="5BCC6FEA" w14:textId="2D9FCE54"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320’000</w:t>
            </w:r>
          </w:p>
        </w:tc>
      </w:tr>
      <w:tr w:rsidR="001B05FC" w:rsidRPr="00E541D8" w14:paraId="02829BBB" w14:textId="77777777" w:rsidTr="00556512">
        <w:tc>
          <w:tcPr>
            <w:tcW w:w="1812" w:type="dxa"/>
          </w:tcPr>
          <w:p w14:paraId="658FDD5F" w14:textId="2E83589B" w:rsidR="001B05FC" w:rsidRPr="00E541D8" w:rsidRDefault="001B05FC"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2</w:t>
            </w:r>
          </w:p>
        </w:tc>
        <w:tc>
          <w:tcPr>
            <w:tcW w:w="2875" w:type="dxa"/>
          </w:tcPr>
          <w:p w14:paraId="5B2C7DEC" w14:textId="14A8BBC0" w:rsidR="001B05FC" w:rsidRPr="00E541D8" w:rsidRDefault="001B05FC"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Logistics</w:t>
            </w:r>
          </w:p>
        </w:tc>
        <w:tc>
          <w:tcPr>
            <w:tcW w:w="3672" w:type="dxa"/>
          </w:tcPr>
          <w:p w14:paraId="54E79C9A" w14:textId="2EF5F390"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48’000</w:t>
            </w:r>
          </w:p>
        </w:tc>
      </w:tr>
      <w:tr w:rsidR="001B05FC" w:rsidRPr="00E541D8" w14:paraId="4222DD82" w14:textId="77777777" w:rsidTr="00556512">
        <w:tc>
          <w:tcPr>
            <w:tcW w:w="1812" w:type="dxa"/>
          </w:tcPr>
          <w:p w14:paraId="679CF527" w14:textId="7FEAF358" w:rsidR="001B05FC" w:rsidRPr="00E541D8" w:rsidRDefault="001B05FC"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3</w:t>
            </w:r>
          </w:p>
        </w:tc>
        <w:tc>
          <w:tcPr>
            <w:tcW w:w="2875" w:type="dxa"/>
          </w:tcPr>
          <w:p w14:paraId="0B75B70F" w14:textId="75E57A17"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Technology/Manufacturing</w:t>
            </w:r>
          </w:p>
        </w:tc>
        <w:tc>
          <w:tcPr>
            <w:tcW w:w="3672" w:type="dxa"/>
          </w:tcPr>
          <w:p w14:paraId="3DFC756B" w14:textId="316FCDD5"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165’000</w:t>
            </w:r>
          </w:p>
        </w:tc>
      </w:tr>
      <w:tr w:rsidR="001B05FC" w:rsidRPr="00E541D8" w14:paraId="73EB5568" w14:textId="77777777" w:rsidTr="00556512">
        <w:tc>
          <w:tcPr>
            <w:tcW w:w="1812" w:type="dxa"/>
          </w:tcPr>
          <w:p w14:paraId="21828C26" w14:textId="4055E27B" w:rsidR="001B05FC" w:rsidRPr="00E541D8" w:rsidRDefault="001B05FC"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4</w:t>
            </w:r>
          </w:p>
        </w:tc>
        <w:tc>
          <w:tcPr>
            <w:tcW w:w="2875" w:type="dxa"/>
          </w:tcPr>
          <w:p w14:paraId="28473F09" w14:textId="7F89BC63"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Technology/Manufacturing</w:t>
            </w:r>
          </w:p>
        </w:tc>
        <w:tc>
          <w:tcPr>
            <w:tcW w:w="3672" w:type="dxa"/>
          </w:tcPr>
          <w:p w14:paraId="5049FCB5" w14:textId="1128609E"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21’000</w:t>
            </w:r>
          </w:p>
        </w:tc>
      </w:tr>
      <w:tr w:rsidR="001B05FC" w:rsidRPr="00E541D8" w14:paraId="79E4246A" w14:textId="77777777" w:rsidTr="00556512">
        <w:tc>
          <w:tcPr>
            <w:tcW w:w="1812" w:type="dxa"/>
          </w:tcPr>
          <w:p w14:paraId="278FFB2F" w14:textId="39DE58C8" w:rsidR="001B05FC" w:rsidRPr="00E541D8" w:rsidRDefault="001B05FC"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5</w:t>
            </w:r>
          </w:p>
        </w:tc>
        <w:tc>
          <w:tcPr>
            <w:tcW w:w="2875" w:type="dxa"/>
          </w:tcPr>
          <w:p w14:paraId="59A4133D" w14:textId="0161560B"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Discount Retailer</w:t>
            </w:r>
          </w:p>
        </w:tc>
        <w:tc>
          <w:tcPr>
            <w:tcW w:w="3672" w:type="dxa"/>
          </w:tcPr>
          <w:p w14:paraId="0682EAD9" w14:textId="64540E41"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360’000</w:t>
            </w:r>
          </w:p>
        </w:tc>
      </w:tr>
    </w:tbl>
    <w:p w14:paraId="55848146" w14:textId="3038465B" w:rsidR="001B05FC" w:rsidRPr="00E541D8" w:rsidRDefault="00556512"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Table 2: Case Companies (own elaboration)</w:t>
      </w:r>
    </w:p>
    <w:p w14:paraId="04CB42F4" w14:textId="77777777" w:rsidR="00556512" w:rsidRPr="00E541D8" w:rsidRDefault="00556512" w:rsidP="001C2716">
      <w:pPr>
        <w:pStyle w:val="Default"/>
        <w:spacing w:line="360" w:lineRule="auto"/>
        <w:jc w:val="both"/>
        <w:rPr>
          <w:rFonts w:asciiTheme="minorHAnsi" w:hAnsiTheme="minorHAnsi" w:cstheme="minorHAnsi"/>
          <w:lang w:val="en-GB"/>
        </w:rPr>
      </w:pPr>
    </w:p>
    <w:p w14:paraId="272FC0C3" w14:textId="16B26976" w:rsidR="00A67464" w:rsidRPr="00E541D8" w:rsidRDefault="001C2716"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 xml:space="preserve">Although both Germany and the Czech Republic, like several other CEE countries, are member states of the European Union nowadays, their institutional frameworks have differed over time. This may still influence how diversity management is received and implemented and may affect MNCs and their subsidiaries. </w:t>
      </w:r>
      <w:r w:rsidR="00C56929" w:rsidRPr="00E541D8">
        <w:rPr>
          <w:rFonts w:asciiTheme="minorHAnsi" w:hAnsiTheme="minorHAnsi" w:cstheme="minorHAnsi"/>
          <w:lang w:val="en-GB"/>
        </w:rPr>
        <w:t xml:space="preserve">According to Yin (2014) the aim of case studies is to understand complex social phenomena and real-life events such as firm and managerial processes. The methodological approach is thus based on Yin (2014) and </w:t>
      </w:r>
      <w:proofErr w:type="spellStart"/>
      <w:r w:rsidR="00C56929" w:rsidRPr="00E541D8">
        <w:rPr>
          <w:rFonts w:asciiTheme="minorHAnsi" w:hAnsiTheme="minorHAnsi" w:cstheme="minorHAnsi"/>
          <w:lang w:val="en-GB"/>
        </w:rPr>
        <w:t>Mayring</w:t>
      </w:r>
      <w:proofErr w:type="spellEnd"/>
      <w:r w:rsidR="00C56929" w:rsidRPr="00E541D8">
        <w:rPr>
          <w:rFonts w:asciiTheme="minorHAnsi" w:hAnsiTheme="minorHAnsi" w:cstheme="minorHAnsi"/>
          <w:lang w:val="en-GB"/>
        </w:rPr>
        <w:t xml:space="preserve"> (2015), who integrated content analysis into case study analysis. Yin’s case study research design comprises five components: the study’s questions, propositions, units of analysis, the logic linking the data to the propositions; and the criteria for interpreting the findings. Yin underlines the need for researchers to review the relevant literature and include theoretical propositions regarding the case under study before starting data collection, which differentiates it from such methodologies as grounded theory. Consequently, we have conducted an extensive literature review on perception gaps as well as subsidiary control before our empirical analysis. Based on Yin’s (2014) general principles on the case study approach, we make use of multiple sources of evidence converging on the same set of facts or findings for the purpose of triangulation and a case study database (Yin 2014). We focused on collecting data through corporate communication and interviews across the five cases. We interviewed </w:t>
      </w:r>
      <w:r w:rsidRPr="00E541D8">
        <w:rPr>
          <w:rFonts w:asciiTheme="minorHAnsi" w:hAnsiTheme="minorHAnsi" w:cstheme="minorHAnsi"/>
          <w:lang w:val="en-GB"/>
        </w:rPr>
        <w:t>spokespeople within the Czech subsidiary of each German MNC to analyse their EDI practices and in how far they were determined by the German headquarters. We additionally gathered data on the MNC EDI practices from annual reports, company newsletters and company websites.</w:t>
      </w:r>
      <w:r w:rsidR="001B05FC" w:rsidRPr="00E541D8">
        <w:rPr>
          <w:rFonts w:asciiTheme="minorHAnsi" w:hAnsiTheme="minorHAnsi" w:cstheme="minorHAnsi"/>
          <w:lang w:val="en-GB"/>
        </w:rPr>
        <w:t xml:space="preserve"> </w:t>
      </w:r>
      <w:r w:rsidRPr="00E541D8">
        <w:rPr>
          <w:rFonts w:asciiTheme="minorHAnsi" w:hAnsiTheme="minorHAnsi" w:cstheme="minorHAnsi"/>
          <w:lang w:val="en-GB"/>
        </w:rPr>
        <w:t xml:space="preserve">A qualitative content analysis of the data gathered from the documents and interviews was applied. A structuring deductive categorisation of content based on etic diversity dimensions, HQ mandates and external pressure was applied.  The </w:t>
      </w:r>
      <w:r w:rsidRPr="00E541D8">
        <w:rPr>
          <w:rFonts w:asciiTheme="minorHAnsi" w:hAnsiTheme="minorHAnsi" w:cstheme="minorHAnsi"/>
          <w:lang w:val="en-GB"/>
        </w:rPr>
        <w:lastRenderedPageBreak/>
        <w:t>structured segments were and interpreted to extract the main messages of the categories in order to able to detect the headquarters impact on local EDI practice.</w:t>
      </w:r>
    </w:p>
    <w:p w14:paraId="0296CAE4" w14:textId="77777777" w:rsidR="001B05FC" w:rsidRPr="00E541D8" w:rsidRDefault="001B05FC" w:rsidP="001C2716">
      <w:pPr>
        <w:pStyle w:val="Default"/>
        <w:spacing w:line="360" w:lineRule="auto"/>
        <w:jc w:val="both"/>
        <w:rPr>
          <w:rFonts w:asciiTheme="minorHAnsi" w:hAnsiTheme="minorHAnsi" w:cstheme="minorHAnsi"/>
          <w:lang w:val="en-GB"/>
        </w:rPr>
      </w:pPr>
    </w:p>
    <w:p w14:paraId="02D8D3A9" w14:textId="6DAD8B9F" w:rsidR="001B05FC" w:rsidRPr="00E541D8" w:rsidRDefault="001B05FC" w:rsidP="001C2716">
      <w:pPr>
        <w:pStyle w:val="Default"/>
        <w:spacing w:line="360" w:lineRule="auto"/>
        <w:jc w:val="both"/>
        <w:rPr>
          <w:rFonts w:asciiTheme="minorHAnsi" w:hAnsiTheme="minorHAnsi" w:cstheme="minorHAnsi"/>
          <w:lang w:val="en-GB"/>
        </w:rPr>
      </w:pPr>
      <w:r w:rsidRPr="00E541D8">
        <w:rPr>
          <w:rFonts w:asciiTheme="minorHAnsi" w:hAnsiTheme="minorHAnsi" w:cstheme="minorHAnsi"/>
          <w:lang w:val="en-GB"/>
        </w:rPr>
        <w:t xml:space="preserve">Here we find that German MNCs, in contrast to what would be expected from the macro-level analysis, are not strongly pushing EDI practices in the subsidiaries. While </w:t>
      </w:r>
      <w:r w:rsidR="00556512" w:rsidRPr="00E541D8">
        <w:rPr>
          <w:rFonts w:asciiTheme="minorHAnsi" w:hAnsiTheme="minorHAnsi" w:cstheme="minorHAnsi"/>
          <w:lang w:val="en-GB"/>
        </w:rPr>
        <w:t>one</w:t>
      </w:r>
      <w:r w:rsidRPr="00E541D8">
        <w:rPr>
          <w:rFonts w:asciiTheme="minorHAnsi" w:hAnsiTheme="minorHAnsi" w:cstheme="minorHAnsi"/>
          <w:lang w:val="en-GB"/>
        </w:rPr>
        <w:t xml:space="preserve"> respondent</w:t>
      </w:r>
      <w:r w:rsidR="00556512" w:rsidRPr="00E541D8">
        <w:rPr>
          <w:rFonts w:asciiTheme="minorHAnsi" w:hAnsiTheme="minorHAnsi" w:cstheme="minorHAnsi"/>
          <w:lang w:val="en-GB"/>
        </w:rPr>
        <w:t xml:space="preserve"> </w:t>
      </w:r>
      <w:r w:rsidRPr="00E541D8">
        <w:rPr>
          <w:rFonts w:asciiTheme="minorHAnsi" w:hAnsiTheme="minorHAnsi" w:cstheme="minorHAnsi"/>
          <w:lang w:val="en-GB"/>
        </w:rPr>
        <w:t xml:space="preserve">stated that “there are projects in Germany (…) the headquarters are not pushing action here” (Company 1 interview) in the </w:t>
      </w:r>
      <w:r w:rsidR="00556512" w:rsidRPr="00E541D8">
        <w:rPr>
          <w:rFonts w:asciiTheme="minorHAnsi" w:hAnsiTheme="minorHAnsi" w:cstheme="minorHAnsi"/>
          <w:lang w:val="en-GB"/>
        </w:rPr>
        <w:t xml:space="preserve">Czech Republic, </w:t>
      </w:r>
      <w:r w:rsidR="00120F68" w:rsidRPr="00E541D8">
        <w:rPr>
          <w:rFonts w:asciiTheme="minorHAnsi" w:hAnsiTheme="minorHAnsi" w:cstheme="minorHAnsi"/>
          <w:lang w:val="en-GB"/>
        </w:rPr>
        <w:t>three companies stated</w:t>
      </w:r>
      <w:r w:rsidR="00556512" w:rsidRPr="00E541D8">
        <w:rPr>
          <w:rFonts w:asciiTheme="minorHAnsi" w:hAnsiTheme="minorHAnsi" w:cstheme="minorHAnsi"/>
          <w:lang w:val="en-GB"/>
        </w:rPr>
        <w:t xml:space="preserve"> that there’s </w:t>
      </w:r>
      <w:r w:rsidR="00120F68" w:rsidRPr="00E541D8">
        <w:rPr>
          <w:rFonts w:asciiTheme="minorHAnsi" w:hAnsiTheme="minorHAnsi" w:cstheme="minorHAnsi"/>
          <w:lang w:val="en-GB"/>
        </w:rPr>
        <w:t>a</w:t>
      </w:r>
      <w:r w:rsidR="00556512" w:rsidRPr="00E541D8">
        <w:rPr>
          <w:rFonts w:asciiTheme="minorHAnsi" w:hAnsiTheme="minorHAnsi" w:cstheme="minorHAnsi"/>
          <w:lang w:val="en-GB"/>
        </w:rPr>
        <w:t xml:space="preserve"> focus on female participation in management (Company 3</w:t>
      </w:r>
      <w:r w:rsidR="00120F68" w:rsidRPr="00E541D8">
        <w:rPr>
          <w:rFonts w:asciiTheme="minorHAnsi" w:hAnsiTheme="minorHAnsi" w:cstheme="minorHAnsi"/>
          <w:lang w:val="en-GB"/>
        </w:rPr>
        <w:t>, 4</w:t>
      </w:r>
      <w:r w:rsidR="00556512" w:rsidRPr="00E541D8">
        <w:rPr>
          <w:rFonts w:asciiTheme="minorHAnsi" w:hAnsiTheme="minorHAnsi" w:cstheme="minorHAnsi"/>
          <w:lang w:val="en-GB"/>
        </w:rPr>
        <w:t xml:space="preserve"> </w:t>
      </w:r>
      <w:r w:rsidR="00120F68" w:rsidRPr="00E541D8">
        <w:rPr>
          <w:rFonts w:asciiTheme="minorHAnsi" w:hAnsiTheme="minorHAnsi" w:cstheme="minorHAnsi"/>
          <w:lang w:val="en-GB"/>
        </w:rPr>
        <w:t>and 5 interviews</w:t>
      </w:r>
      <w:r w:rsidR="00556512" w:rsidRPr="00E541D8">
        <w:rPr>
          <w:rFonts w:asciiTheme="minorHAnsi" w:hAnsiTheme="minorHAnsi" w:cstheme="minorHAnsi"/>
          <w:lang w:val="en-GB"/>
        </w:rPr>
        <w:t xml:space="preserve">), which is also fostered by the German headquarters at home. </w:t>
      </w:r>
      <w:r w:rsidR="00120F68" w:rsidRPr="00E541D8">
        <w:rPr>
          <w:rFonts w:asciiTheme="minorHAnsi" w:hAnsiTheme="minorHAnsi" w:cstheme="minorHAnsi"/>
          <w:lang w:val="en-GB"/>
        </w:rPr>
        <w:t>The Czech subsidiary of Company 5 is also encouraged to align its practices with the MNCs long-term diversity and inclusion strategy, however specific measures are not demanded or actioned. The main focus lies on gender opportunities.</w:t>
      </w:r>
    </w:p>
    <w:p w14:paraId="5FDCCA07" w14:textId="77777777" w:rsidR="00120F68" w:rsidRPr="00E541D8" w:rsidRDefault="00120F68" w:rsidP="001C2716">
      <w:pPr>
        <w:pStyle w:val="Default"/>
        <w:spacing w:line="360" w:lineRule="auto"/>
        <w:jc w:val="both"/>
        <w:rPr>
          <w:rFonts w:asciiTheme="minorHAnsi" w:hAnsiTheme="minorHAnsi" w:cstheme="minorHAnsi"/>
          <w:lang w:val="en-GB"/>
        </w:rPr>
      </w:pPr>
    </w:p>
    <w:p w14:paraId="2C00EF31" w14:textId="48BED7BB" w:rsidR="00120F68" w:rsidRPr="00E541D8" w:rsidRDefault="00516722" w:rsidP="00120F68">
      <w:pPr>
        <w:spacing w:line="360" w:lineRule="auto"/>
        <w:jc w:val="both"/>
        <w:rPr>
          <w:rFonts w:cstheme="minorHAnsi"/>
          <w:b/>
          <w:bCs/>
        </w:rPr>
      </w:pPr>
      <w:r>
        <w:rPr>
          <w:rFonts w:cstheme="minorHAnsi"/>
          <w:b/>
          <w:bCs/>
        </w:rPr>
        <w:t xml:space="preserve">Discussion and </w:t>
      </w:r>
      <w:r w:rsidR="00120F68" w:rsidRPr="00E541D8">
        <w:rPr>
          <w:rFonts w:cstheme="minorHAnsi"/>
          <w:b/>
          <w:bCs/>
        </w:rPr>
        <w:t xml:space="preserve">Conclusion </w:t>
      </w:r>
    </w:p>
    <w:p w14:paraId="64E60D1D" w14:textId="304DC33E" w:rsidR="001102CF" w:rsidRPr="00516722" w:rsidRDefault="00120F68" w:rsidP="00A16CD5">
      <w:pPr>
        <w:pStyle w:val="Default"/>
        <w:spacing w:line="360" w:lineRule="auto"/>
        <w:jc w:val="both"/>
        <w:rPr>
          <w:rFonts w:asciiTheme="minorHAnsi" w:eastAsia="TimesNewRomanPSMT" w:hAnsiTheme="minorHAnsi" w:cstheme="minorHAnsi"/>
          <w:lang w:val="en-GB"/>
        </w:rPr>
      </w:pPr>
      <w:r w:rsidRPr="00E541D8">
        <w:rPr>
          <w:rFonts w:asciiTheme="minorHAnsi" w:eastAsia="TimesNewRomanPSMT" w:hAnsiTheme="minorHAnsi" w:cstheme="minorHAnsi"/>
          <w:lang w:val="en-GB"/>
        </w:rPr>
        <w:t>As we’ve demonstrated, Western MNCs shape the CEE institutional macro-context quite active</w:t>
      </w:r>
      <w:r w:rsidR="000341A1" w:rsidRPr="00E541D8">
        <w:rPr>
          <w:rFonts w:asciiTheme="minorHAnsi" w:eastAsia="TimesNewRomanPSMT" w:hAnsiTheme="minorHAnsi" w:cstheme="minorHAnsi"/>
          <w:lang w:val="en-GB"/>
        </w:rPr>
        <w:t>ly by means of the promotion of EDI values in diversity charters. The fact that domestic signatories increase over time, shows that the institutional work of foreign MNCs is fruitful on the normative level, even if, compared to Western European contexts, those charters are of lesser gravity. However, looking at the organizational level, we find that German MNCs engage much less actively in EDI measures in their Czech subsidiaries apart from the Gender dimension. This creates the notion that Western corporations in CEE “talk the talk</w:t>
      </w:r>
      <w:r w:rsidR="00945CE8">
        <w:rPr>
          <w:rFonts w:asciiTheme="minorHAnsi" w:eastAsia="TimesNewRomanPSMT" w:hAnsiTheme="minorHAnsi" w:cstheme="minorHAnsi"/>
          <w:lang w:val="en-GB"/>
        </w:rPr>
        <w:t>”</w:t>
      </w:r>
      <w:r w:rsidR="000341A1" w:rsidRPr="00E541D8">
        <w:rPr>
          <w:rFonts w:asciiTheme="minorHAnsi" w:eastAsia="TimesNewRomanPSMT" w:hAnsiTheme="minorHAnsi" w:cstheme="minorHAnsi"/>
          <w:lang w:val="en-GB"/>
        </w:rPr>
        <w:t xml:space="preserve"> but don’t </w:t>
      </w:r>
      <w:r w:rsidR="00945CE8">
        <w:rPr>
          <w:rFonts w:asciiTheme="minorHAnsi" w:eastAsia="TimesNewRomanPSMT" w:hAnsiTheme="minorHAnsi" w:cstheme="minorHAnsi"/>
          <w:lang w:val="en-GB"/>
        </w:rPr>
        <w:t>“</w:t>
      </w:r>
      <w:r w:rsidR="000341A1" w:rsidRPr="00E541D8">
        <w:rPr>
          <w:rFonts w:asciiTheme="minorHAnsi" w:eastAsia="TimesNewRomanPSMT" w:hAnsiTheme="minorHAnsi" w:cstheme="minorHAnsi"/>
          <w:lang w:val="en-GB"/>
        </w:rPr>
        <w:t>walk the walk”</w:t>
      </w:r>
      <w:r w:rsidR="00945CE8">
        <w:rPr>
          <w:rFonts w:asciiTheme="minorHAnsi" w:eastAsia="TimesNewRomanPSMT" w:hAnsiTheme="minorHAnsi" w:cstheme="minorHAnsi"/>
          <w:lang w:val="en-GB"/>
        </w:rPr>
        <w:t xml:space="preserve"> on EDI a</w:t>
      </w:r>
      <w:r w:rsidR="000341A1" w:rsidRPr="00E541D8">
        <w:rPr>
          <w:rFonts w:asciiTheme="minorHAnsi" w:eastAsia="TimesNewRomanPSMT" w:hAnsiTheme="minorHAnsi" w:cstheme="minorHAnsi"/>
          <w:lang w:val="en-GB"/>
        </w:rPr>
        <w:t xml:space="preserve">nd don’t follow the normative guidelines </w:t>
      </w:r>
      <w:r w:rsidR="001102CF">
        <w:rPr>
          <w:rFonts w:asciiTheme="minorHAnsi" w:eastAsia="TimesNewRomanPSMT" w:hAnsiTheme="minorHAnsi" w:cstheme="minorHAnsi"/>
          <w:lang w:val="en-GB"/>
        </w:rPr>
        <w:t xml:space="preserve">as consequently </w:t>
      </w:r>
      <w:r w:rsidR="000341A1" w:rsidRPr="00E541D8">
        <w:rPr>
          <w:rFonts w:asciiTheme="minorHAnsi" w:eastAsia="TimesNewRomanPSMT" w:hAnsiTheme="minorHAnsi" w:cstheme="minorHAnsi"/>
          <w:lang w:val="en-GB"/>
        </w:rPr>
        <w:t xml:space="preserve">themselves. </w:t>
      </w:r>
      <w:r w:rsidR="001102CF">
        <w:rPr>
          <w:rFonts w:asciiTheme="minorHAnsi" w:eastAsia="TimesNewRomanPSMT" w:hAnsiTheme="minorHAnsi" w:cstheme="minorHAnsi"/>
          <w:lang w:val="en-GB"/>
        </w:rPr>
        <w:t xml:space="preserve">Despite their intentions of change on the macro-level, implementing such changes within the subsidiaries seems to be more challenging. This may be due to the fact that in day-to-day business, the </w:t>
      </w:r>
      <w:r w:rsidR="001102CF" w:rsidRPr="00516722">
        <w:rPr>
          <w:rFonts w:asciiTheme="minorHAnsi" w:eastAsia="TimesNewRomanPSMT" w:hAnsiTheme="minorHAnsi" w:cstheme="minorHAnsi"/>
          <w:lang w:val="en-GB"/>
        </w:rPr>
        <w:t xml:space="preserve">cross-national </w:t>
      </w:r>
      <w:r w:rsidR="00516722" w:rsidRPr="00516722">
        <w:rPr>
          <w:rFonts w:asciiTheme="minorHAnsi" w:eastAsia="TimesNewRomanPSMT" w:hAnsiTheme="minorHAnsi" w:cstheme="minorHAnsi"/>
          <w:lang w:val="en-GB"/>
        </w:rPr>
        <w:t>differences,</w:t>
      </w:r>
      <w:r w:rsidR="001102CF" w:rsidRPr="00516722">
        <w:rPr>
          <w:rFonts w:asciiTheme="minorHAnsi" w:eastAsia="TimesNewRomanPSMT" w:hAnsiTheme="minorHAnsi" w:cstheme="minorHAnsi"/>
          <w:lang w:val="en-GB"/>
        </w:rPr>
        <w:t xml:space="preserve"> and local sensitivities, hinder an unaltered transfer of EDI practices as suggested in the literature (</w:t>
      </w:r>
      <w:proofErr w:type="spellStart"/>
      <w:r w:rsidR="001102CF" w:rsidRPr="00516722">
        <w:rPr>
          <w:rFonts w:asciiTheme="minorHAnsi" w:eastAsia="TimesNewRomanPSMT" w:hAnsiTheme="minorHAnsi" w:cstheme="minorHAnsi"/>
          <w:lang w:val="en-GB"/>
        </w:rPr>
        <w:t>Hennekam</w:t>
      </w:r>
      <w:proofErr w:type="spellEnd"/>
      <w:r w:rsidR="001102CF" w:rsidRPr="00516722">
        <w:rPr>
          <w:rFonts w:asciiTheme="minorHAnsi" w:eastAsia="TimesNewRomanPSMT" w:hAnsiTheme="minorHAnsi" w:cstheme="minorHAnsi"/>
          <w:lang w:val="en-GB"/>
        </w:rPr>
        <w:t xml:space="preserve"> et al., 2017; </w:t>
      </w:r>
      <w:proofErr w:type="spellStart"/>
      <w:r w:rsidR="001102CF" w:rsidRPr="00516722">
        <w:rPr>
          <w:rFonts w:asciiTheme="minorHAnsi" w:eastAsia="TimesNewRomanPSMT" w:hAnsiTheme="minorHAnsi" w:cstheme="minorHAnsi"/>
          <w:lang w:val="en-GB"/>
        </w:rPr>
        <w:t>Tsui</w:t>
      </w:r>
      <w:proofErr w:type="spellEnd"/>
      <w:r w:rsidR="001102CF" w:rsidRPr="00516722">
        <w:rPr>
          <w:rFonts w:asciiTheme="minorHAnsi" w:eastAsia="TimesNewRomanPSMT" w:hAnsiTheme="minorHAnsi" w:cstheme="minorHAnsi"/>
          <w:lang w:val="en-GB"/>
        </w:rPr>
        <w:t xml:space="preserve">-Auch and Chow, 2019; </w:t>
      </w:r>
      <w:proofErr w:type="spellStart"/>
      <w:r w:rsidR="001102CF" w:rsidRPr="00516722">
        <w:rPr>
          <w:rFonts w:asciiTheme="minorHAnsi" w:eastAsia="TimesNewRomanPSMT" w:hAnsiTheme="minorHAnsi" w:cstheme="minorHAnsi"/>
          <w:lang w:val="en-GB"/>
        </w:rPr>
        <w:t>Erdur</w:t>
      </w:r>
      <w:proofErr w:type="spellEnd"/>
      <w:r w:rsidR="001102CF" w:rsidRPr="00516722">
        <w:rPr>
          <w:rFonts w:asciiTheme="minorHAnsi" w:eastAsia="TimesNewRomanPSMT" w:hAnsiTheme="minorHAnsi" w:cstheme="minorHAnsi"/>
          <w:lang w:val="en-GB"/>
        </w:rPr>
        <w:t>, 2020). The pressures to comply with institutionalized expectations within the workforce and general business environment (</w:t>
      </w:r>
      <w:proofErr w:type="spellStart"/>
      <w:r w:rsidR="001102CF" w:rsidRPr="00516722">
        <w:rPr>
          <w:rFonts w:asciiTheme="minorHAnsi" w:eastAsia="TimesNewRomanPSMT" w:hAnsiTheme="minorHAnsi" w:cstheme="minorHAnsi"/>
          <w:lang w:val="en-GB"/>
        </w:rPr>
        <w:t>Küskü</w:t>
      </w:r>
      <w:proofErr w:type="spellEnd"/>
      <w:r w:rsidR="001102CF" w:rsidRPr="00516722">
        <w:rPr>
          <w:rFonts w:asciiTheme="minorHAnsi" w:eastAsia="TimesNewRomanPSMT" w:hAnsiTheme="minorHAnsi" w:cstheme="minorHAnsi"/>
          <w:lang w:val="en-GB"/>
        </w:rPr>
        <w:t xml:space="preserve"> et al., 2021) </w:t>
      </w:r>
      <w:r w:rsidR="00516722" w:rsidRPr="00516722">
        <w:rPr>
          <w:rFonts w:asciiTheme="minorHAnsi" w:eastAsia="TimesNewRomanPSMT" w:hAnsiTheme="minorHAnsi" w:cstheme="minorHAnsi"/>
          <w:lang w:val="en-GB"/>
        </w:rPr>
        <w:t xml:space="preserve">still hinder more action to drive EDI, which </w:t>
      </w:r>
      <w:r w:rsidR="001102CF" w:rsidRPr="00516722">
        <w:rPr>
          <w:rFonts w:asciiTheme="minorHAnsi" w:eastAsia="TimesNewRomanPSMT" w:hAnsiTheme="minorHAnsi" w:cstheme="minorHAnsi"/>
          <w:lang w:val="en-GB"/>
        </w:rPr>
        <w:t xml:space="preserve">may require more creative and invested </w:t>
      </w:r>
      <w:r w:rsidR="00516722" w:rsidRPr="00516722">
        <w:rPr>
          <w:rFonts w:asciiTheme="minorHAnsi" w:eastAsia="TimesNewRomanPSMT" w:hAnsiTheme="minorHAnsi" w:cstheme="minorHAnsi"/>
          <w:lang w:val="en-GB"/>
        </w:rPr>
        <w:t xml:space="preserve">attempts as shown by </w:t>
      </w:r>
      <w:r w:rsidR="001102CF" w:rsidRPr="00516722">
        <w:rPr>
          <w:rFonts w:asciiTheme="minorHAnsi" w:eastAsia="TimesNewRomanPSMT" w:hAnsiTheme="minorHAnsi" w:cstheme="minorHAnsi"/>
          <w:lang w:val="en-GB"/>
        </w:rPr>
        <w:t xml:space="preserve">Miah et al. </w:t>
      </w:r>
      <w:r w:rsidR="00516722" w:rsidRPr="00516722">
        <w:rPr>
          <w:rFonts w:asciiTheme="minorHAnsi" w:eastAsia="TimesNewRomanPSMT" w:hAnsiTheme="minorHAnsi" w:cstheme="minorHAnsi"/>
          <w:lang w:val="en-GB"/>
        </w:rPr>
        <w:t>(</w:t>
      </w:r>
      <w:r w:rsidR="001102CF" w:rsidRPr="00516722">
        <w:rPr>
          <w:rFonts w:asciiTheme="minorHAnsi" w:eastAsia="TimesNewRomanPSMT" w:hAnsiTheme="minorHAnsi" w:cstheme="minorHAnsi"/>
          <w:lang w:val="en-GB"/>
        </w:rPr>
        <w:t>2022).</w:t>
      </w:r>
    </w:p>
    <w:p w14:paraId="457D5FD1" w14:textId="77777777" w:rsidR="001102CF" w:rsidRDefault="001102CF" w:rsidP="00A16CD5">
      <w:pPr>
        <w:pStyle w:val="Default"/>
        <w:spacing w:line="360" w:lineRule="auto"/>
        <w:jc w:val="both"/>
        <w:rPr>
          <w:rFonts w:asciiTheme="minorHAnsi" w:eastAsia="TimesNewRomanPSMT" w:hAnsiTheme="minorHAnsi" w:cstheme="minorHAnsi"/>
          <w:lang w:val="en-GB"/>
        </w:rPr>
      </w:pPr>
    </w:p>
    <w:p w14:paraId="057B88D8" w14:textId="3E9E0800" w:rsidR="00B23ACD" w:rsidRPr="00D67605" w:rsidRDefault="00A16CD5" w:rsidP="00D67605">
      <w:pPr>
        <w:pStyle w:val="Default"/>
        <w:spacing w:line="360" w:lineRule="auto"/>
        <w:jc w:val="both"/>
        <w:rPr>
          <w:rFonts w:asciiTheme="minorHAnsi" w:eastAsia="TimesNewRomanPSMT" w:hAnsiTheme="minorHAnsi" w:cstheme="minorHAnsi"/>
          <w:lang w:val="en-GB"/>
        </w:rPr>
      </w:pPr>
      <w:r w:rsidRPr="00E541D8">
        <w:rPr>
          <w:rFonts w:asciiTheme="minorHAnsi" w:eastAsia="TimesNewRomanPSMT" w:hAnsiTheme="minorHAnsi" w:cstheme="minorHAnsi"/>
          <w:lang w:val="en-GB"/>
        </w:rPr>
        <w:t xml:space="preserve">Ultimately, we enhance the understanding </w:t>
      </w:r>
      <w:r w:rsidR="000341A1" w:rsidRPr="00E541D8">
        <w:rPr>
          <w:rFonts w:asciiTheme="minorHAnsi" w:eastAsia="TimesNewRomanPSMT" w:hAnsiTheme="minorHAnsi" w:cstheme="minorHAnsi"/>
          <w:lang w:val="en-GB"/>
        </w:rPr>
        <w:t>institutional work on EDI as well as t</w:t>
      </w:r>
      <w:r w:rsidRPr="00E541D8">
        <w:rPr>
          <w:rFonts w:asciiTheme="minorHAnsi" w:eastAsia="TimesNewRomanPSMT" w:hAnsiTheme="minorHAnsi" w:cstheme="minorHAnsi"/>
          <w:lang w:val="en-GB"/>
        </w:rPr>
        <w:t xml:space="preserve">he transfer of </w:t>
      </w:r>
      <w:r w:rsidR="000341A1" w:rsidRPr="00E541D8">
        <w:rPr>
          <w:rFonts w:asciiTheme="minorHAnsi" w:eastAsia="TimesNewRomanPSMT" w:hAnsiTheme="minorHAnsi" w:cstheme="minorHAnsi"/>
          <w:lang w:val="en-GB"/>
        </w:rPr>
        <w:t>EDI</w:t>
      </w:r>
      <w:r w:rsidRPr="00E541D8">
        <w:rPr>
          <w:rFonts w:asciiTheme="minorHAnsi" w:eastAsia="TimesNewRomanPSMT" w:hAnsiTheme="minorHAnsi" w:cstheme="minorHAnsi"/>
          <w:lang w:val="en-GB"/>
        </w:rPr>
        <w:t xml:space="preserve"> within MNCs</w:t>
      </w:r>
      <w:r w:rsidR="000341A1" w:rsidRPr="00E541D8">
        <w:rPr>
          <w:rFonts w:asciiTheme="minorHAnsi" w:eastAsia="TimesNewRomanPSMT" w:hAnsiTheme="minorHAnsi" w:cstheme="minorHAnsi"/>
          <w:lang w:val="en-GB"/>
        </w:rPr>
        <w:t xml:space="preserve">. We thus </w:t>
      </w:r>
      <w:r w:rsidRPr="00E541D8">
        <w:rPr>
          <w:rFonts w:asciiTheme="minorHAnsi" w:eastAsia="TimesNewRomanPSMT" w:hAnsiTheme="minorHAnsi" w:cstheme="minorHAnsi"/>
          <w:lang w:val="en-GB"/>
        </w:rPr>
        <w:t xml:space="preserve">contribute to the academic discussion </w:t>
      </w:r>
      <w:r w:rsidR="000341A1" w:rsidRPr="00E541D8">
        <w:rPr>
          <w:rFonts w:asciiTheme="minorHAnsi" w:eastAsia="TimesNewRomanPSMT" w:hAnsiTheme="minorHAnsi" w:cstheme="minorHAnsi"/>
          <w:lang w:val="en-GB"/>
        </w:rPr>
        <w:t xml:space="preserve">and </w:t>
      </w:r>
      <w:r w:rsidRPr="00E541D8">
        <w:rPr>
          <w:rFonts w:asciiTheme="minorHAnsi" w:eastAsia="TimesNewRomanPSMT" w:hAnsiTheme="minorHAnsi" w:cstheme="minorHAnsi"/>
          <w:lang w:val="en-GB"/>
        </w:rPr>
        <w:t>provide practical implications for organizations in diverse international settings.</w:t>
      </w:r>
    </w:p>
    <w:p w14:paraId="6B5B58F6" w14:textId="1D529DC6" w:rsidR="001B232D" w:rsidRPr="00E541D8" w:rsidRDefault="001B232D" w:rsidP="00084099">
      <w:pPr>
        <w:pStyle w:val="Default"/>
        <w:spacing w:line="360" w:lineRule="auto"/>
        <w:jc w:val="both"/>
        <w:rPr>
          <w:rFonts w:asciiTheme="minorHAnsi" w:eastAsia="TimesNewRomanPSMT" w:hAnsiTheme="minorHAnsi" w:cstheme="minorHAnsi"/>
          <w:lang w:val="en-GB"/>
        </w:rPr>
      </w:pPr>
      <w:r w:rsidRPr="00E541D8">
        <w:rPr>
          <w:rFonts w:asciiTheme="minorHAnsi" w:eastAsia="TimesNewRomanPSMT" w:hAnsiTheme="minorHAnsi" w:cstheme="minorHAnsi"/>
          <w:lang w:val="en-GB"/>
        </w:rPr>
        <w:lastRenderedPageBreak/>
        <w:t>Literature</w:t>
      </w:r>
    </w:p>
    <w:p w14:paraId="584B9B8C" w14:textId="3690A904" w:rsidR="005D70FB" w:rsidRPr="00E541D8" w:rsidRDefault="005D70FB" w:rsidP="00084099">
      <w:pPr>
        <w:pStyle w:val="Default"/>
        <w:numPr>
          <w:ilvl w:val="0"/>
          <w:numId w:val="1"/>
        </w:numPr>
        <w:spacing w:line="360" w:lineRule="auto"/>
        <w:jc w:val="both"/>
        <w:rPr>
          <w:rFonts w:asciiTheme="minorHAnsi" w:eastAsia="TimesNewRomanPSMT" w:hAnsiTheme="minorHAnsi" w:cstheme="minorHAnsi"/>
          <w:lang w:val="en-GB"/>
        </w:rPr>
      </w:pPr>
      <w:proofErr w:type="spellStart"/>
      <w:r w:rsidRPr="00E541D8">
        <w:rPr>
          <w:rFonts w:asciiTheme="minorHAnsi" w:eastAsia="TimesNewRomanPSMT" w:hAnsiTheme="minorHAnsi" w:cstheme="minorHAnsi"/>
          <w:lang w:val="en-GB"/>
        </w:rPr>
        <w:t>Aksom</w:t>
      </w:r>
      <w:proofErr w:type="spellEnd"/>
      <w:r w:rsidRPr="00E541D8">
        <w:rPr>
          <w:rFonts w:asciiTheme="minorHAnsi" w:eastAsia="TimesNewRomanPSMT" w:hAnsiTheme="minorHAnsi" w:cstheme="minorHAnsi"/>
          <w:lang w:val="en-GB"/>
        </w:rPr>
        <w:t xml:space="preserve">, H. (2022), ‘Institutional inertia and practice variation’, Journal of Organizational Change Management, Vol. 35 No. 3, pp. 463-487. </w:t>
      </w:r>
      <w:hyperlink r:id="rId7" w:history="1">
        <w:r w:rsidRPr="00E541D8">
          <w:rPr>
            <w:rStyle w:val="Hyperlink"/>
            <w:rFonts w:asciiTheme="minorHAnsi" w:eastAsia="TimesNewRomanPSMT" w:hAnsiTheme="minorHAnsi" w:cstheme="minorHAnsi"/>
            <w:lang w:val="en-GB"/>
          </w:rPr>
          <w:t>https://doi.org/10.1108/JOCM-07-2021-0205</w:t>
        </w:r>
      </w:hyperlink>
    </w:p>
    <w:p w14:paraId="304FE9CE" w14:textId="07A4CCA5" w:rsidR="00664FD6" w:rsidRPr="00E541D8" w:rsidRDefault="001B232D" w:rsidP="00084099">
      <w:pPr>
        <w:pStyle w:val="Default"/>
        <w:numPr>
          <w:ilvl w:val="0"/>
          <w:numId w:val="1"/>
        </w:numPr>
        <w:spacing w:line="360" w:lineRule="auto"/>
        <w:jc w:val="both"/>
        <w:rPr>
          <w:rFonts w:asciiTheme="minorHAnsi" w:eastAsia="TimesNewRomanPSMT" w:hAnsiTheme="minorHAnsi" w:cstheme="minorHAnsi"/>
          <w:lang w:val="en-GB"/>
        </w:rPr>
      </w:pPr>
      <w:r w:rsidRPr="00E541D8">
        <w:rPr>
          <w:rFonts w:asciiTheme="minorHAnsi" w:eastAsia="TimesNewRomanPSMT" w:hAnsiTheme="minorHAnsi" w:cstheme="minorHAnsi"/>
          <w:lang w:val="en-GB"/>
        </w:rPr>
        <w:t xml:space="preserve">Bader, A.K., Froese, F.J., Cooke, F.L. and Schuster, T. (2022) ‘Gender diversity management in foreign subsidiaries: A comparative study in Germany and Japan’, Journal of International Management, Vol. 28, No. 3. </w:t>
      </w:r>
      <w:hyperlink r:id="rId8" w:history="1">
        <w:r w:rsidR="009B1237" w:rsidRPr="00E541D8">
          <w:rPr>
            <w:rStyle w:val="Hyperlink"/>
            <w:rFonts w:asciiTheme="minorHAnsi" w:eastAsia="TimesNewRomanPSMT" w:hAnsiTheme="minorHAnsi" w:cstheme="minorHAnsi"/>
            <w:lang w:val="en-GB"/>
          </w:rPr>
          <w:t>https://doi.org/10.1016/j.intman.2021.100921</w:t>
        </w:r>
      </w:hyperlink>
    </w:p>
    <w:p w14:paraId="32995BAB" w14:textId="663390DB" w:rsidR="00277CD1" w:rsidRDefault="00277CD1" w:rsidP="00277CD1">
      <w:pPr>
        <w:pStyle w:val="Listenabsatz"/>
        <w:numPr>
          <w:ilvl w:val="0"/>
          <w:numId w:val="1"/>
        </w:numPr>
        <w:pBdr>
          <w:top w:val="nil"/>
          <w:left w:val="nil"/>
          <w:bottom w:val="nil"/>
          <w:right w:val="nil"/>
          <w:between w:val="nil"/>
        </w:pBdr>
        <w:shd w:val="clear" w:color="auto" w:fill="FFFFFF"/>
        <w:spacing w:after="280" w:line="360" w:lineRule="auto"/>
        <w:jc w:val="both"/>
      </w:pPr>
      <w:proofErr w:type="spellStart"/>
      <w:r w:rsidRPr="00E541D8">
        <w:t>Buyantueva</w:t>
      </w:r>
      <w:proofErr w:type="spellEnd"/>
      <w:r w:rsidRPr="00E541D8">
        <w:t xml:space="preserve"> R. and </w:t>
      </w:r>
      <w:proofErr w:type="spellStart"/>
      <w:r w:rsidRPr="00E541D8">
        <w:t>Shevtsova</w:t>
      </w:r>
      <w:proofErr w:type="spellEnd"/>
      <w:r w:rsidRPr="00E541D8">
        <w:t xml:space="preserve"> M. (2020) ‘Introduction: LGBTQ+ Activism and the Power of Locals’, in: </w:t>
      </w:r>
      <w:proofErr w:type="spellStart"/>
      <w:r w:rsidRPr="00E541D8">
        <w:t>Buyantueva</w:t>
      </w:r>
      <w:proofErr w:type="spellEnd"/>
      <w:r w:rsidRPr="00E541D8">
        <w:t xml:space="preserve"> R., </w:t>
      </w:r>
      <w:proofErr w:type="spellStart"/>
      <w:r w:rsidRPr="00E541D8">
        <w:t>Shevtsova</w:t>
      </w:r>
      <w:proofErr w:type="spellEnd"/>
      <w:r w:rsidRPr="00E541D8">
        <w:t xml:space="preserve"> M. (eds):</w:t>
      </w:r>
      <w:r w:rsidRPr="00E541D8">
        <w:rPr>
          <w:i/>
        </w:rPr>
        <w:t xml:space="preserve"> LGBTQ+ Activism in Central and Eastern Europe</w:t>
      </w:r>
      <w:r w:rsidRPr="00E541D8">
        <w:t xml:space="preserve">. Palgrave Macmillan, Cham. </w:t>
      </w:r>
      <w:hyperlink r:id="rId9">
        <w:r w:rsidRPr="00E541D8">
          <w:t>https://doi.org/10.1007/978-3-030-20401-3_1</w:t>
        </w:r>
      </w:hyperlink>
    </w:p>
    <w:p w14:paraId="2548D891" w14:textId="689A3997" w:rsidR="0041320F" w:rsidRPr="00E541D8" w:rsidRDefault="0041320F" w:rsidP="0041320F">
      <w:pPr>
        <w:pStyle w:val="Listenabsatz"/>
        <w:numPr>
          <w:ilvl w:val="0"/>
          <w:numId w:val="1"/>
        </w:numPr>
        <w:pBdr>
          <w:top w:val="nil"/>
          <w:left w:val="nil"/>
          <w:bottom w:val="nil"/>
          <w:right w:val="nil"/>
          <w:between w:val="nil"/>
        </w:pBdr>
        <w:shd w:val="clear" w:color="auto" w:fill="FFFFFF"/>
        <w:spacing w:after="280" w:line="360" w:lineRule="auto"/>
        <w:jc w:val="both"/>
      </w:pPr>
      <w:r w:rsidRPr="00D67605">
        <w:rPr>
          <w:lang w:val="de-DE"/>
        </w:rPr>
        <w:t xml:space="preserve">Björkman, I., &amp; </w:t>
      </w:r>
      <w:proofErr w:type="spellStart"/>
      <w:r w:rsidRPr="00D67605">
        <w:rPr>
          <w:lang w:val="de-DE"/>
        </w:rPr>
        <w:t>Lervik</w:t>
      </w:r>
      <w:proofErr w:type="spellEnd"/>
      <w:r w:rsidRPr="00D67605">
        <w:rPr>
          <w:lang w:val="de-DE"/>
        </w:rPr>
        <w:t xml:space="preserve">, J. E. (2007). </w:t>
      </w:r>
      <w:r w:rsidRPr="0041320F">
        <w:t>Transnational organization of human resources management: Managing human resources in multinational corporations. Human Resource Management Review, 17(2), 163-175.</w:t>
      </w:r>
    </w:p>
    <w:p w14:paraId="62199AC3" w14:textId="2BE1E62A" w:rsidR="003625CA" w:rsidRPr="00E541D8" w:rsidRDefault="00664FD6" w:rsidP="00310B5C">
      <w:pPr>
        <w:pStyle w:val="Default"/>
        <w:numPr>
          <w:ilvl w:val="0"/>
          <w:numId w:val="1"/>
        </w:numPr>
        <w:spacing w:line="360" w:lineRule="auto"/>
        <w:jc w:val="both"/>
        <w:rPr>
          <w:rFonts w:asciiTheme="minorHAnsi" w:eastAsia="TimesNewRomanPSMT" w:hAnsiTheme="minorHAnsi" w:cstheme="minorHAnsi"/>
          <w:lang w:val="en-GB"/>
        </w:rPr>
      </w:pPr>
      <w:proofErr w:type="spellStart"/>
      <w:r w:rsidRPr="00E541D8">
        <w:rPr>
          <w:rFonts w:asciiTheme="minorHAnsi" w:eastAsia="TimesNewRomanPSMT" w:hAnsiTheme="minorHAnsi" w:cstheme="minorHAnsi"/>
          <w:lang w:val="en-GB"/>
        </w:rPr>
        <w:t>Caprar</w:t>
      </w:r>
      <w:proofErr w:type="spellEnd"/>
      <w:r w:rsidRPr="00E541D8">
        <w:rPr>
          <w:rFonts w:asciiTheme="minorHAnsi" w:eastAsia="TimesNewRomanPSMT" w:hAnsiTheme="minorHAnsi" w:cstheme="minorHAnsi"/>
          <w:lang w:val="en-GB"/>
        </w:rPr>
        <w:t xml:space="preserve">, D.V., Kim, S., Walker, B.W. et </w:t>
      </w:r>
      <w:r w:rsidR="00310B5C" w:rsidRPr="00E541D8">
        <w:rPr>
          <w:rFonts w:asciiTheme="minorHAnsi" w:eastAsia="TimesNewRomanPSMT" w:hAnsiTheme="minorHAnsi" w:cstheme="minorHAnsi"/>
          <w:lang w:val="en-GB"/>
        </w:rPr>
        <w:t>al. (2022)</w:t>
      </w:r>
      <w:r w:rsidRPr="00E541D8">
        <w:rPr>
          <w:rFonts w:asciiTheme="minorHAnsi" w:eastAsia="TimesNewRomanPSMT" w:hAnsiTheme="minorHAnsi" w:cstheme="minorHAnsi"/>
          <w:lang w:val="en-GB"/>
        </w:rPr>
        <w:t xml:space="preserve"> </w:t>
      </w:r>
      <w:r w:rsidR="00310B5C" w:rsidRPr="00E541D8">
        <w:rPr>
          <w:rFonts w:asciiTheme="minorHAnsi" w:eastAsia="TimesNewRomanPSMT" w:hAnsiTheme="minorHAnsi" w:cstheme="minorHAnsi"/>
          <w:lang w:val="en-GB"/>
        </w:rPr>
        <w:t>‘</w:t>
      </w:r>
      <w:r w:rsidRPr="00E541D8">
        <w:rPr>
          <w:rFonts w:asciiTheme="minorHAnsi" w:eastAsia="TimesNewRomanPSMT" w:hAnsiTheme="minorHAnsi" w:cstheme="minorHAnsi"/>
          <w:lang w:val="en-GB"/>
        </w:rPr>
        <w:t>Beyond “Doing as the Romans Do”: A review of research on countercultural business practices</w:t>
      </w:r>
      <w:r w:rsidR="00310B5C" w:rsidRPr="00E541D8">
        <w:rPr>
          <w:rFonts w:asciiTheme="minorHAnsi" w:eastAsia="TimesNewRomanPSMT" w:hAnsiTheme="minorHAnsi" w:cstheme="minorHAnsi"/>
          <w:lang w:val="en-GB"/>
        </w:rPr>
        <w:t>’</w:t>
      </w:r>
      <w:r w:rsidRPr="00E541D8">
        <w:rPr>
          <w:rFonts w:asciiTheme="minorHAnsi" w:eastAsia="TimesNewRomanPSMT" w:hAnsiTheme="minorHAnsi" w:cstheme="minorHAnsi"/>
          <w:lang w:val="en-GB"/>
        </w:rPr>
        <w:t xml:space="preserve"> J Int Bus Stud 53, 1449–1483 (2022). </w:t>
      </w:r>
      <w:hyperlink r:id="rId10" w:history="1">
        <w:r w:rsidRPr="00E541D8">
          <w:rPr>
            <w:rFonts w:asciiTheme="minorHAnsi" w:eastAsia="TimesNewRomanPSMT" w:hAnsiTheme="minorHAnsi" w:cstheme="minorHAnsi"/>
            <w:lang w:val="en-GB"/>
          </w:rPr>
          <w:t>https://doi.org/10.1057/s41267-021-00479-2</w:t>
        </w:r>
      </w:hyperlink>
      <w:r w:rsidRPr="00E541D8">
        <w:rPr>
          <w:rFonts w:asciiTheme="minorHAnsi" w:eastAsia="TimesNewRomanPSMT" w:hAnsiTheme="minorHAnsi" w:cstheme="minorHAnsi"/>
          <w:lang w:val="en-GB"/>
        </w:rPr>
        <w:t xml:space="preserve"> </w:t>
      </w:r>
    </w:p>
    <w:p w14:paraId="1D32DDF8" w14:textId="71CACB1B" w:rsidR="00664FD6" w:rsidRPr="00E541D8" w:rsidRDefault="006F3FD9" w:rsidP="00310B5C">
      <w:pPr>
        <w:pStyle w:val="Listenabsatz"/>
        <w:numPr>
          <w:ilvl w:val="0"/>
          <w:numId w:val="1"/>
        </w:numPr>
        <w:pBdr>
          <w:top w:val="nil"/>
          <w:left w:val="nil"/>
          <w:bottom w:val="nil"/>
          <w:right w:val="nil"/>
          <w:between w:val="nil"/>
        </w:pBdr>
        <w:shd w:val="clear" w:color="auto" w:fill="FFFFFF"/>
        <w:spacing w:after="280" w:line="360" w:lineRule="auto"/>
        <w:jc w:val="both"/>
      </w:pPr>
      <w:r w:rsidRPr="00E541D8">
        <w:t xml:space="preserve">Carrillo </w:t>
      </w:r>
      <w:proofErr w:type="spellStart"/>
      <w:r w:rsidRPr="00E541D8">
        <w:t>Arciniega</w:t>
      </w:r>
      <w:proofErr w:type="spellEnd"/>
      <w:r w:rsidRPr="00E541D8">
        <w:t>, L. (2021) ‘Selling diversity to white men: How disentangling economics from morality is a racial and gendered performance’, Organisation, Vol. 28 No. 2, pp. 228–246</w:t>
      </w:r>
      <w:r w:rsidR="003625CA" w:rsidRPr="00E541D8">
        <w:t>.</w:t>
      </w:r>
    </w:p>
    <w:p w14:paraId="4D267854" w14:textId="77777777" w:rsidR="00037974" w:rsidRPr="00E541D8" w:rsidRDefault="00037974" w:rsidP="00037974">
      <w:pPr>
        <w:pStyle w:val="Listenabsatz"/>
        <w:numPr>
          <w:ilvl w:val="0"/>
          <w:numId w:val="1"/>
        </w:numPr>
        <w:pBdr>
          <w:top w:val="nil"/>
          <w:left w:val="nil"/>
          <w:bottom w:val="nil"/>
          <w:right w:val="nil"/>
          <w:between w:val="nil"/>
        </w:pBdr>
        <w:shd w:val="clear" w:color="auto" w:fill="FFFFFF"/>
        <w:spacing w:after="280" w:line="360" w:lineRule="auto"/>
        <w:jc w:val="both"/>
      </w:pPr>
      <w:r w:rsidRPr="00E541D8">
        <w:t xml:space="preserve">Chow, R., Phillips, T., </w:t>
      </w:r>
      <w:proofErr w:type="spellStart"/>
      <w:r w:rsidRPr="00E541D8">
        <w:t>Lowery</w:t>
      </w:r>
      <w:proofErr w:type="spellEnd"/>
      <w:r w:rsidRPr="00E541D8">
        <w:t xml:space="preserve">, B., and </w:t>
      </w:r>
      <w:proofErr w:type="spellStart"/>
      <w:r w:rsidRPr="00E541D8">
        <w:t>Unzueta</w:t>
      </w:r>
      <w:proofErr w:type="spellEnd"/>
      <w:r w:rsidRPr="00E541D8">
        <w:t xml:space="preserve">, M. (2021) ‘Fighting backlash to racial equity efforts’, </w:t>
      </w:r>
      <w:r w:rsidRPr="00E541D8">
        <w:rPr>
          <w:i/>
          <w:iCs/>
        </w:rPr>
        <w:t>MIT Sloan Management Review</w:t>
      </w:r>
      <w:r w:rsidRPr="00E541D8">
        <w:t xml:space="preserve"> Vol. 62 No. 4, pp. 25-31</w:t>
      </w:r>
    </w:p>
    <w:p w14:paraId="71EE8BCD" w14:textId="77777777" w:rsidR="003625CA" w:rsidRPr="00E541D8" w:rsidRDefault="001B232D" w:rsidP="00310B5C">
      <w:pPr>
        <w:pStyle w:val="Default"/>
        <w:numPr>
          <w:ilvl w:val="0"/>
          <w:numId w:val="1"/>
        </w:numPr>
        <w:spacing w:line="360" w:lineRule="auto"/>
        <w:jc w:val="both"/>
        <w:rPr>
          <w:rFonts w:asciiTheme="minorHAnsi" w:hAnsiTheme="minorHAnsi" w:cstheme="minorBidi"/>
          <w:color w:val="auto"/>
          <w:kern w:val="2"/>
          <w:lang w:val="en-GB"/>
        </w:rPr>
      </w:pPr>
      <w:r w:rsidRPr="00E541D8">
        <w:rPr>
          <w:rFonts w:asciiTheme="minorHAnsi" w:hAnsiTheme="minorHAnsi" w:cstheme="minorBidi"/>
          <w:color w:val="auto"/>
          <w:kern w:val="2"/>
          <w:lang w:val="en-GB"/>
        </w:rPr>
        <w:t xml:space="preserve">Cooke, F.L. and Saini, D.S. (2010) ‘Diversity management in India: A study of organisations in different ownership forms and industrial sectors’, Human Resource Management, Vol. 49, pp. 477-500. </w:t>
      </w:r>
      <w:hyperlink r:id="rId11" w:history="1">
        <w:r w:rsidR="00664FD6" w:rsidRPr="00E541D8">
          <w:rPr>
            <w:rFonts w:cstheme="minorBidi"/>
            <w:color w:val="auto"/>
            <w:kern w:val="2"/>
            <w:lang w:val="en-GB"/>
          </w:rPr>
          <w:t>https://doi.org/10.1002/hrm.20360</w:t>
        </w:r>
      </w:hyperlink>
    </w:p>
    <w:p w14:paraId="0C62C34A" w14:textId="0A8E170C" w:rsidR="003625CA" w:rsidRPr="00E541D8" w:rsidRDefault="005376EE" w:rsidP="00084099">
      <w:pPr>
        <w:pStyle w:val="Default"/>
        <w:numPr>
          <w:ilvl w:val="0"/>
          <w:numId w:val="1"/>
        </w:numPr>
        <w:spacing w:line="360" w:lineRule="auto"/>
        <w:jc w:val="both"/>
        <w:rPr>
          <w:rFonts w:asciiTheme="minorHAnsi" w:hAnsiTheme="minorHAnsi" w:cstheme="minorBidi"/>
          <w:color w:val="auto"/>
          <w:kern w:val="2"/>
          <w:lang w:val="en-GB"/>
        </w:rPr>
      </w:pPr>
      <w:r w:rsidRPr="00E541D8">
        <w:rPr>
          <w:rFonts w:asciiTheme="minorHAnsi" w:hAnsiTheme="minorHAnsi" w:cstheme="minorBidi"/>
          <w:color w:val="auto"/>
          <w:kern w:val="2"/>
          <w:lang w:val="en-GB"/>
        </w:rPr>
        <w:t xml:space="preserve">Cox, T.H. (1993) </w:t>
      </w:r>
      <w:r w:rsidR="00310B5C" w:rsidRPr="00E541D8">
        <w:rPr>
          <w:rFonts w:asciiTheme="minorHAnsi" w:hAnsiTheme="minorHAnsi" w:cstheme="minorBidi"/>
          <w:color w:val="auto"/>
          <w:kern w:val="2"/>
          <w:lang w:val="en-GB"/>
        </w:rPr>
        <w:t>‘</w:t>
      </w:r>
      <w:r w:rsidRPr="00E541D8">
        <w:rPr>
          <w:rFonts w:asciiTheme="minorHAnsi" w:hAnsiTheme="minorHAnsi" w:cstheme="minorBidi"/>
          <w:color w:val="auto"/>
          <w:kern w:val="2"/>
          <w:lang w:val="en-GB"/>
        </w:rPr>
        <w:t>Cultural Diversity in Organizations: Theory, Research &amp; Practice</w:t>
      </w:r>
      <w:r w:rsidR="00310B5C" w:rsidRPr="00E541D8">
        <w:rPr>
          <w:rFonts w:asciiTheme="minorHAnsi" w:hAnsiTheme="minorHAnsi" w:cstheme="minorBidi"/>
          <w:color w:val="auto"/>
          <w:kern w:val="2"/>
          <w:lang w:val="en-GB"/>
        </w:rPr>
        <w:t xml:space="preserve">’ </w:t>
      </w:r>
      <w:r w:rsidRPr="00E541D8">
        <w:rPr>
          <w:rFonts w:asciiTheme="minorHAnsi" w:hAnsiTheme="minorHAnsi" w:cstheme="minorBidi"/>
          <w:color w:val="auto"/>
          <w:kern w:val="2"/>
          <w:lang w:val="en-GB"/>
        </w:rPr>
        <w:t>San</w:t>
      </w:r>
      <w:r w:rsidR="00310B5C" w:rsidRPr="00E541D8">
        <w:rPr>
          <w:rFonts w:asciiTheme="minorHAnsi" w:hAnsiTheme="minorHAnsi" w:cstheme="minorBidi"/>
          <w:color w:val="auto"/>
          <w:kern w:val="2"/>
          <w:lang w:val="en-GB"/>
        </w:rPr>
        <w:t xml:space="preserve"> </w:t>
      </w:r>
      <w:r w:rsidRPr="00E541D8">
        <w:rPr>
          <w:rFonts w:asciiTheme="minorHAnsi" w:hAnsiTheme="minorHAnsi" w:cstheme="minorBidi"/>
          <w:color w:val="auto"/>
          <w:kern w:val="2"/>
          <w:lang w:val="en-GB"/>
        </w:rPr>
        <w:t>Francisco, CA: Berrett-Koehler.</w:t>
      </w:r>
    </w:p>
    <w:p w14:paraId="6CC8261C" w14:textId="5C643718" w:rsidR="00664FD6" w:rsidRPr="00E541D8" w:rsidRDefault="001B232D" w:rsidP="00084099">
      <w:pPr>
        <w:pStyle w:val="Default"/>
        <w:numPr>
          <w:ilvl w:val="0"/>
          <w:numId w:val="1"/>
        </w:numPr>
        <w:spacing w:line="360" w:lineRule="auto"/>
        <w:jc w:val="both"/>
        <w:rPr>
          <w:rFonts w:asciiTheme="minorHAnsi" w:eastAsia="TimesNewRomanPSMT" w:hAnsiTheme="minorHAnsi" w:cstheme="minorHAnsi"/>
          <w:lang w:val="en-GB"/>
        </w:rPr>
      </w:pPr>
      <w:proofErr w:type="spellStart"/>
      <w:r w:rsidRPr="00E541D8">
        <w:rPr>
          <w:rFonts w:asciiTheme="minorHAnsi" w:hAnsiTheme="minorHAnsi" w:cstheme="minorBidi"/>
          <w:color w:val="auto"/>
          <w:kern w:val="2"/>
          <w:lang w:val="en-GB"/>
        </w:rPr>
        <w:t>Daya</w:t>
      </w:r>
      <w:proofErr w:type="spellEnd"/>
      <w:r w:rsidRPr="00E541D8">
        <w:rPr>
          <w:rFonts w:asciiTheme="minorHAnsi" w:hAnsiTheme="minorHAnsi" w:cstheme="minorBidi"/>
          <w:color w:val="auto"/>
          <w:kern w:val="2"/>
          <w:lang w:val="en-GB"/>
        </w:rPr>
        <w:t>, P. (2014) ‘Diversity and inclusion</w:t>
      </w:r>
      <w:r w:rsidRPr="00E541D8">
        <w:rPr>
          <w:rFonts w:asciiTheme="minorHAnsi" w:eastAsia="TimesNewRomanPSMT" w:hAnsiTheme="minorHAnsi" w:cstheme="minorHAnsi"/>
          <w:lang w:val="en-GB"/>
        </w:rPr>
        <w:t xml:space="preserve"> in an emerging market context’, Equality, </w:t>
      </w:r>
      <w:proofErr w:type="gramStart"/>
      <w:r w:rsidRPr="00E541D8">
        <w:rPr>
          <w:rFonts w:asciiTheme="minorHAnsi" w:eastAsia="TimesNewRomanPSMT" w:hAnsiTheme="minorHAnsi" w:cstheme="minorHAnsi"/>
          <w:lang w:val="en-GB"/>
        </w:rPr>
        <w:t>Diversity</w:t>
      </w:r>
      <w:proofErr w:type="gramEnd"/>
      <w:r w:rsidRPr="00E541D8">
        <w:rPr>
          <w:rFonts w:asciiTheme="minorHAnsi" w:eastAsia="TimesNewRomanPSMT" w:hAnsiTheme="minorHAnsi" w:cstheme="minorHAnsi"/>
          <w:lang w:val="en-GB"/>
        </w:rPr>
        <w:t xml:space="preserve"> and Inclusion: An International Journal, Vol. 33, No. 3, pp. 293-308.</w:t>
      </w:r>
      <w:r w:rsidR="00310B5C" w:rsidRPr="00E541D8">
        <w:rPr>
          <w:rFonts w:asciiTheme="minorHAnsi" w:eastAsia="TimesNewRomanPSMT" w:hAnsiTheme="minorHAnsi" w:cstheme="minorHAnsi"/>
          <w:lang w:val="en-GB"/>
        </w:rPr>
        <w:t xml:space="preserve"> </w:t>
      </w:r>
      <w:hyperlink r:id="rId12" w:history="1">
        <w:r w:rsidR="00664FD6" w:rsidRPr="00E541D8">
          <w:rPr>
            <w:rStyle w:val="Hyperlink"/>
            <w:rFonts w:asciiTheme="minorHAnsi" w:eastAsia="TimesNewRomanPSMT" w:hAnsiTheme="minorHAnsi" w:cstheme="minorHAnsi"/>
            <w:lang w:val="en-GB"/>
          </w:rPr>
          <w:t>http://dx.doi.org/10.1108/DEI-10-2012-0087</w:t>
        </w:r>
      </w:hyperlink>
    </w:p>
    <w:p w14:paraId="39BF3554" w14:textId="77777777" w:rsidR="00277CD1" w:rsidRPr="00E541D8" w:rsidRDefault="00277CD1" w:rsidP="00277CD1">
      <w:pPr>
        <w:pStyle w:val="Listenabsatz"/>
        <w:numPr>
          <w:ilvl w:val="0"/>
          <w:numId w:val="1"/>
        </w:numPr>
        <w:pBdr>
          <w:top w:val="nil"/>
          <w:left w:val="nil"/>
          <w:bottom w:val="nil"/>
          <w:right w:val="nil"/>
          <w:between w:val="nil"/>
        </w:pBdr>
        <w:shd w:val="clear" w:color="auto" w:fill="FFFFFF"/>
        <w:spacing w:after="280" w:line="360" w:lineRule="auto"/>
        <w:jc w:val="both"/>
      </w:pPr>
      <w:r w:rsidRPr="00E541D8">
        <w:lastRenderedPageBreak/>
        <w:t xml:space="preserve">DiMaggio, P., and Powell, W. (1983) ‘The Iron Cage Revisited: Institutional Isomorphism and Collective Rationality in Organizational Fields’, </w:t>
      </w:r>
      <w:r w:rsidRPr="00E541D8">
        <w:rPr>
          <w:i/>
          <w:iCs/>
        </w:rPr>
        <w:t>American Sociological Review</w:t>
      </w:r>
      <w:r w:rsidRPr="00E541D8">
        <w:t xml:space="preserve">, Vol. 48 No. 2, pp. 147–160. </w:t>
      </w:r>
      <w:hyperlink r:id="rId13" w:history="1">
        <w:r w:rsidRPr="00E541D8">
          <w:rPr>
            <w:rStyle w:val="Hyperlink"/>
          </w:rPr>
          <w:t>https://doi.org/10.2307/2095101</w:t>
        </w:r>
      </w:hyperlink>
      <w:r w:rsidRPr="00E541D8">
        <w:t xml:space="preserve">. </w:t>
      </w:r>
    </w:p>
    <w:p w14:paraId="0CE14921" w14:textId="0B741C12" w:rsidR="00277CD1" w:rsidRPr="00E541D8" w:rsidRDefault="00277CD1" w:rsidP="0083204E">
      <w:pPr>
        <w:pStyle w:val="Listenabsatz"/>
        <w:numPr>
          <w:ilvl w:val="0"/>
          <w:numId w:val="1"/>
        </w:numPr>
        <w:pBdr>
          <w:top w:val="nil"/>
          <w:left w:val="nil"/>
          <w:bottom w:val="nil"/>
          <w:right w:val="nil"/>
          <w:between w:val="nil"/>
        </w:pBdr>
        <w:shd w:val="clear" w:color="auto" w:fill="FFFFFF"/>
        <w:spacing w:after="280" w:line="360" w:lineRule="auto"/>
        <w:jc w:val="both"/>
      </w:pPr>
      <w:proofErr w:type="spellStart"/>
      <w:r w:rsidRPr="00E541D8">
        <w:t>Erdur</w:t>
      </w:r>
      <w:proofErr w:type="spellEnd"/>
      <w:r w:rsidRPr="00E541D8">
        <w:t xml:space="preserve">, D.A. (2020), "Diversity Management: Revealing the Need for a Context-specific Approach", </w:t>
      </w:r>
      <w:proofErr w:type="spellStart"/>
      <w:r w:rsidRPr="00E541D8">
        <w:t>Turkmenoglu</w:t>
      </w:r>
      <w:proofErr w:type="spellEnd"/>
      <w:r w:rsidRPr="00E541D8">
        <w:t xml:space="preserve">, M.A. and </w:t>
      </w:r>
      <w:proofErr w:type="spellStart"/>
      <w:r w:rsidRPr="00E541D8">
        <w:t>Cicek</w:t>
      </w:r>
      <w:proofErr w:type="spellEnd"/>
      <w:r w:rsidRPr="00E541D8">
        <w:t>, B. (Ed.) Contemporary Global Issues in Human Resource Management, Emerald Publishing Limited, Bingley, pp. 37-51. https://doi.org/10.1108/978-1-80043-392-220201006</w:t>
      </w:r>
    </w:p>
    <w:p w14:paraId="0D4A366A" w14:textId="702A2F37" w:rsidR="00664FD6" w:rsidRDefault="001B232D" w:rsidP="00084099">
      <w:pPr>
        <w:pStyle w:val="Default"/>
        <w:numPr>
          <w:ilvl w:val="0"/>
          <w:numId w:val="1"/>
        </w:numPr>
        <w:spacing w:line="360" w:lineRule="auto"/>
        <w:jc w:val="both"/>
        <w:rPr>
          <w:rFonts w:asciiTheme="minorHAnsi" w:eastAsia="TimesNewRomanPSMT" w:hAnsiTheme="minorHAnsi" w:cstheme="minorHAnsi"/>
          <w:lang w:val="en-GB"/>
        </w:rPr>
      </w:pPr>
      <w:proofErr w:type="spellStart"/>
      <w:r w:rsidRPr="00E541D8">
        <w:rPr>
          <w:rFonts w:asciiTheme="minorHAnsi" w:eastAsia="TimesNewRomanPSMT" w:hAnsiTheme="minorHAnsi" w:cstheme="minorHAnsi"/>
          <w:lang w:val="en-GB"/>
        </w:rPr>
        <w:t>Ferner</w:t>
      </w:r>
      <w:proofErr w:type="spellEnd"/>
      <w:r w:rsidRPr="00E541D8">
        <w:rPr>
          <w:rFonts w:asciiTheme="minorHAnsi" w:eastAsia="TimesNewRomanPSMT" w:hAnsiTheme="minorHAnsi" w:cstheme="minorHAnsi"/>
          <w:lang w:val="en-GB"/>
        </w:rPr>
        <w:t>, A.</w:t>
      </w:r>
      <w:r w:rsidR="00310B5C" w:rsidRPr="00E541D8">
        <w:rPr>
          <w:rFonts w:asciiTheme="minorHAnsi" w:eastAsia="TimesNewRomanPSMT" w:hAnsiTheme="minorHAnsi" w:cstheme="minorHAnsi"/>
          <w:lang w:val="en-GB"/>
        </w:rPr>
        <w:t xml:space="preserve">, </w:t>
      </w:r>
      <w:r w:rsidRPr="00E541D8">
        <w:rPr>
          <w:rFonts w:asciiTheme="minorHAnsi" w:eastAsia="TimesNewRomanPSMT" w:hAnsiTheme="minorHAnsi" w:cstheme="minorHAnsi"/>
          <w:lang w:val="en-GB"/>
        </w:rPr>
        <w:t>Almond, P.</w:t>
      </w:r>
      <w:r w:rsidR="00310B5C" w:rsidRPr="00E541D8">
        <w:rPr>
          <w:rFonts w:asciiTheme="minorHAnsi" w:eastAsia="TimesNewRomanPSMT" w:hAnsiTheme="minorHAnsi" w:cstheme="minorHAnsi"/>
          <w:lang w:val="en-GB"/>
        </w:rPr>
        <w:t xml:space="preserve"> and </w:t>
      </w:r>
      <w:r w:rsidRPr="00E541D8">
        <w:rPr>
          <w:rFonts w:asciiTheme="minorHAnsi" w:eastAsia="TimesNewRomanPSMT" w:hAnsiTheme="minorHAnsi" w:cstheme="minorHAnsi"/>
          <w:lang w:val="en-GB"/>
        </w:rPr>
        <w:t>Colling, T. (2005)</w:t>
      </w:r>
      <w:r w:rsidR="00310B5C" w:rsidRPr="00E541D8">
        <w:rPr>
          <w:rFonts w:asciiTheme="minorHAnsi" w:eastAsia="TimesNewRomanPSMT" w:hAnsiTheme="minorHAnsi" w:cstheme="minorHAnsi"/>
          <w:lang w:val="en-GB"/>
        </w:rPr>
        <w:t xml:space="preserve">’ </w:t>
      </w:r>
      <w:r w:rsidRPr="00E541D8">
        <w:rPr>
          <w:rFonts w:asciiTheme="minorHAnsi" w:eastAsia="TimesNewRomanPSMT" w:hAnsiTheme="minorHAnsi" w:cstheme="minorHAnsi"/>
          <w:lang w:val="en-GB"/>
        </w:rPr>
        <w:t>Institutional theory and the cross-national transfer of employment policy: The case of ‘workforce diversity’ in US multinationals</w:t>
      </w:r>
      <w:r w:rsidR="00310B5C" w:rsidRPr="00E541D8">
        <w:rPr>
          <w:rFonts w:asciiTheme="minorHAnsi" w:eastAsia="TimesNewRomanPSMT" w:hAnsiTheme="minorHAnsi" w:cstheme="minorHAnsi"/>
          <w:lang w:val="en-GB"/>
        </w:rPr>
        <w:t>’</w:t>
      </w:r>
      <w:r w:rsidRPr="00E541D8">
        <w:rPr>
          <w:rFonts w:asciiTheme="minorHAnsi" w:eastAsia="TimesNewRomanPSMT" w:hAnsiTheme="minorHAnsi" w:cstheme="minorHAnsi"/>
          <w:lang w:val="en-GB"/>
        </w:rPr>
        <w:t xml:space="preserve"> Journal of International Business Studies, 3, 304–321.</w:t>
      </w:r>
    </w:p>
    <w:p w14:paraId="16FDEE17" w14:textId="4C280A2A" w:rsidR="0041320F" w:rsidRPr="0041320F" w:rsidRDefault="0041320F" w:rsidP="0041320F">
      <w:pPr>
        <w:pStyle w:val="Default"/>
        <w:numPr>
          <w:ilvl w:val="0"/>
          <w:numId w:val="1"/>
        </w:numPr>
        <w:spacing w:line="360" w:lineRule="auto"/>
        <w:jc w:val="both"/>
        <w:rPr>
          <w:rFonts w:asciiTheme="minorHAnsi" w:eastAsia="TimesNewRomanPSMT" w:hAnsiTheme="minorHAnsi" w:cstheme="minorHAnsi"/>
          <w:lang w:val="en-GB"/>
        </w:rPr>
      </w:pPr>
      <w:r w:rsidRPr="0041320F">
        <w:rPr>
          <w:rFonts w:asciiTheme="minorHAnsi" w:eastAsia="TimesNewRomanPSMT" w:hAnsiTheme="minorHAnsi" w:cstheme="minorHAnsi"/>
          <w:lang w:val="en-GB"/>
        </w:rPr>
        <w:t>Geppert, M., Williams, K., &amp; Matten, D. (2006). Challenges of global decentralization: Power relations between headquarters and subsidiaries in German multinational corporations. Journal of Management Studies, 43(8), 1775-1800.</w:t>
      </w:r>
    </w:p>
    <w:p w14:paraId="05107A82" w14:textId="77777777" w:rsidR="00F74B4C" w:rsidRPr="00E541D8" w:rsidRDefault="001B232D" w:rsidP="00F74B4C">
      <w:pPr>
        <w:pStyle w:val="Default"/>
        <w:numPr>
          <w:ilvl w:val="0"/>
          <w:numId w:val="1"/>
        </w:numPr>
        <w:spacing w:line="360" w:lineRule="auto"/>
        <w:jc w:val="both"/>
        <w:rPr>
          <w:rFonts w:asciiTheme="minorHAnsi" w:eastAsia="TimesNewRomanPSMT" w:hAnsiTheme="minorHAnsi" w:cstheme="minorHAnsi"/>
          <w:lang w:val="en-GB"/>
        </w:rPr>
      </w:pPr>
      <w:proofErr w:type="spellStart"/>
      <w:r w:rsidRPr="00E541D8">
        <w:rPr>
          <w:rFonts w:asciiTheme="minorHAnsi" w:eastAsia="TimesNewRomanPSMT" w:hAnsiTheme="minorHAnsi" w:cstheme="minorHAnsi"/>
          <w:lang w:val="en-GB"/>
        </w:rPr>
        <w:t>Hennekam</w:t>
      </w:r>
      <w:proofErr w:type="spellEnd"/>
      <w:r w:rsidRPr="00E541D8">
        <w:rPr>
          <w:rFonts w:asciiTheme="minorHAnsi" w:eastAsia="TimesNewRomanPSMT" w:hAnsiTheme="minorHAnsi" w:cstheme="minorHAnsi"/>
          <w:lang w:val="en-GB"/>
        </w:rPr>
        <w:t xml:space="preserve">, S., </w:t>
      </w:r>
      <w:proofErr w:type="spellStart"/>
      <w:r w:rsidRPr="00E541D8">
        <w:rPr>
          <w:rFonts w:asciiTheme="minorHAnsi" w:eastAsia="TimesNewRomanPSMT" w:hAnsiTheme="minorHAnsi" w:cstheme="minorHAnsi"/>
          <w:lang w:val="en-GB"/>
        </w:rPr>
        <w:t>Tahssain</w:t>
      </w:r>
      <w:proofErr w:type="spellEnd"/>
      <w:r w:rsidRPr="00E541D8">
        <w:rPr>
          <w:rFonts w:asciiTheme="minorHAnsi" w:eastAsia="TimesNewRomanPSMT" w:hAnsiTheme="minorHAnsi" w:cstheme="minorHAnsi"/>
          <w:lang w:val="en-GB"/>
        </w:rPr>
        <w:t xml:space="preserve">‐Gay, L., and Syed, J. (2017) ‘Contextualising diversity management in the Middle East and North Africa: a relational perspective’. Human Resource Management Journal, Vol. 27, No. 3, pp. 459-476. </w:t>
      </w:r>
      <w:proofErr w:type="spellStart"/>
      <w:r w:rsidRPr="00E541D8">
        <w:rPr>
          <w:rFonts w:asciiTheme="minorHAnsi" w:eastAsia="TimesNewRomanPSMT" w:hAnsiTheme="minorHAnsi" w:cstheme="minorHAnsi"/>
          <w:lang w:val="en-GB"/>
        </w:rPr>
        <w:t>doi</w:t>
      </w:r>
      <w:proofErr w:type="spellEnd"/>
      <w:r w:rsidRPr="00E541D8">
        <w:rPr>
          <w:rFonts w:asciiTheme="minorHAnsi" w:eastAsia="TimesNewRomanPSMT" w:hAnsiTheme="minorHAnsi" w:cstheme="minorHAnsi"/>
          <w:lang w:val="en-GB"/>
        </w:rPr>
        <w:t>: 10.1111/1748-8583.12150.</w:t>
      </w:r>
    </w:p>
    <w:p w14:paraId="20E98DE8" w14:textId="5EB680E4" w:rsidR="00F74B4C" w:rsidRPr="00E541D8" w:rsidRDefault="00F74B4C" w:rsidP="00F74B4C">
      <w:pPr>
        <w:pStyle w:val="Default"/>
        <w:numPr>
          <w:ilvl w:val="0"/>
          <w:numId w:val="1"/>
        </w:numPr>
        <w:spacing w:line="360" w:lineRule="auto"/>
        <w:jc w:val="both"/>
        <w:rPr>
          <w:rFonts w:asciiTheme="minorHAnsi" w:eastAsia="TimesNewRomanPSMT" w:hAnsiTheme="minorHAnsi" w:cstheme="minorHAnsi"/>
          <w:lang w:val="en-GB"/>
        </w:rPr>
      </w:pPr>
      <w:r w:rsidRPr="00E541D8">
        <w:rPr>
          <w:rFonts w:asciiTheme="minorHAnsi" w:eastAsia="TimesNewRomanPSMT" w:hAnsiTheme="minorHAnsi" w:cstheme="minorHAnsi"/>
          <w:lang w:val="en-GB"/>
        </w:rPr>
        <w:t xml:space="preserve">Hilger, A.M., </w:t>
      </w:r>
      <w:proofErr w:type="spellStart"/>
      <w:r w:rsidRPr="00E541D8">
        <w:rPr>
          <w:rFonts w:asciiTheme="minorHAnsi" w:eastAsia="TimesNewRomanPSMT" w:hAnsiTheme="minorHAnsi" w:cstheme="minorHAnsi"/>
          <w:lang w:val="en-GB"/>
        </w:rPr>
        <w:t>Velinov</w:t>
      </w:r>
      <w:proofErr w:type="spellEnd"/>
      <w:r w:rsidRPr="00E541D8">
        <w:rPr>
          <w:rFonts w:asciiTheme="minorHAnsi" w:eastAsia="TimesNewRomanPSMT" w:hAnsiTheme="minorHAnsi" w:cstheme="minorHAnsi"/>
          <w:lang w:val="en-GB"/>
        </w:rPr>
        <w:t xml:space="preserve">, E. and Özbilgin, M.F. (2023) ‘Against all odds: how the institutional context shapes diversity management in the Central and Eastern European Oil and Gas industry’, Equality, Diversity and Inclusion, Vol. 42 No. 8. </w:t>
      </w:r>
      <w:hyperlink r:id="rId14" w:history="1">
        <w:r w:rsidRPr="00E541D8">
          <w:rPr>
            <w:rFonts w:asciiTheme="minorHAnsi" w:eastAsia="TimesNewRomanPSMT" w:hAnsiTheme="minorHAnsi" w:cstheme="minorHAnsi"/>
            <w:lang w:val="en-GB"/>
          </w:rPr>
          <w:t>https://doi.org/10.1108/EDI-11-2022-0308</w:t>
        </w:r>
      </w:hyperlink>
    </w:p>
    <w:p w14:paraId="34CD1B97" w14:textId="77777777" w:rsidR="0083204E" w:rsidRPr="00E541D8" w:rsidRDefault="00277CD1" w:rsidP="0083204E">
      <w:pPr>
        <w:pStyle w:val="Listenabsatz"/>
        <w:numPr>
          <w:ilvl w:val="0"/>
          <w:numId w:val="1"/>
        </w:numPr>
        <w:pBdr>
          <w:top w:val="nil"/>
          <w:left w:val="nil"/>
          <w:bottom w:val="nil"/>
          <w:right w:val="nil"/>
          <w:between w:val="nil"/>
        </w:pBdr>
        <w:shd w:val="clear" w:color="auto" w:fill="FFFFFF"/>
        <w:spacing w:after="280" w:line="360" w:lineRule="auto"/>
        <w:jc w:val="both"/>
        <w:rPr>
          <w:rFonts w:eastAsia="TimesNewRomanPSMT" w:cstheme="minorHAnsi"/>
        </w:rPr>
      </w:pPr>
      <w:r w:rsidRPr="00E541D8">
        <w:t xml:space="preserve">Kalmar, K. (2018) ‘Islamophobia in the East of the European Union: an introduction’, </w:t>
      </w:r>
      <w:r w:rsidRPr="00E541D8">
        <w:rPr>
          <w:i/>
        </w:rPr>
        <w:t xml:space="preserve">Patterns of Prejudice, </w:t>
      </w:r>
      <w:r w:rsidRPr="00E541D8">
        <w:t xml:space="preserve">Vol. 52 No. 5, pp. 389-405. DOI: </w:t>
      </w:r>
      <w:hyperlink r:id="rId15">
        <w:r w:rsidRPr="00E541D8">
          <w:t>10.1080/0031322X.2018.1512467</w:t>
        </w:r>
      </w:hyperlink>
    </w:p>
    <w:p w14:paraId="7A5496D9" w14:textId="77777777" w:rsidR="0083204E" w:rsidRPr="00E541D8" w:rsidRDefault="001B232D" w:rsidP="0083204E">
      <w:pPr>
        <w:pStyle w:val="Listenabsatz"/>
        <w:numPr>
          <w:ilvl w:val="0"/>
          <w:numId w:val="1"/>
        </w:numPr>
        <w:pBdr>
          <w:top w:val="nil"/>
          <w:left w:val="nil"/>
          <w:bottom w:val="nil"/>
          <w:right w:val="nil"/>
          <w:between w:val="nil"/>
        </w:pBdr>
        <w:shd w:val="clear" w:color="auto" w:fill="FFFFFF"/>
        <w:spacing w:after="280" w:line="360" w:lineRule="auto"/>
        <w:jc w:val="both"/>
        <w:rPr>
          <w:rFonts w:eastAsia="TimesNewRomanPSMT" w:cstheme="minorHAnsi"/>
        </w:rPr>
      </w:pPr>
      <w:r w:rsidRPr="00E541D8">
        <w:rPr>
          <w:rFonts w:eastAsia="TimesNewRomanPSMT" w:cstheme="minorHAnsi"/>
        </w:rPr>
        <w:t xml:space="preserve">Konrad, A.M., Yang, Y. and Maurer, C.C. (2016) ‘Antecedents and Outcomes of Diversity and Equality Management Systems: An Integrated Institutional Agency and Strategic Human Resource Management Approach’, Human Resource Management, Vol. 55, pp. 83-107. </w:t>
      </w:r>
      <w:hyperlink r:id="rId16" w:history="1">
        <w:r w:rsidR="00664FD6" w:rsidRPr="00E541D8">
          <w:rPr>
            <w:rStyle w:val="Hyperlink"/>
            <w:rFonts w:eastAsia="TimesNewRomanPSMT" w:cstheme="minorHAnsi"/>
          </w:rPr>
          <w:t>https://doi.org/10.1002/hrm.21713</w:t>
        </w:r>
      </w:hyperlink>
    </w:p>
    <w:p w14:paraId="44BC4356" w14:textId="77777777" w:rsidR="0083204E" w:rsidRPr="00E541D8" w:rsidRDefault="001B232D" w:rsidP="0083204E">
      <w:pPr>
        <w:pStyle w:val="Listenabsatz"/>
        <w:numPr>
          <w:ilvl w:val="0"/>
          <w:numId w:val="1"/>
        </w:numPr>
        <w:pBdr>
          <w:top w:val="nil"/>
          <w:left w:val="nil"/>
          <w:bottom w:val="nil"/>
          <w:right w:val="nil"/>
          <w:between w:val="nil"/>
        </w:pBdr>
        <w:shd w:val="clear" w:color="auto" w:fill="FFFFFF"/>
        <w:spacing w:after="280" w:line="360" w:lineRule="auto"/>
        <w:jc w:val="both"/>
        <w:rPr>
          <w:rFonts w:eastAsia="TimesNewRomanPSMT" w:cstheme="minorHAnsi"/>
        </w:rPr>
      </w:pPr>
      <w:proofErr w:type="spellStart"/>
      <w:r w:rsidRPr="00E541D8">
        <w:rPr>
          <w:rFonts w:eastAsia="TimesNewRomanPSMT" w:cstheme="minorHAnsi"/>
        </w:rPr>
        <w:t>Kostova</w:t>
      </w:r>
      <w:proofErr w:type="spellEnd"/>
      <w:r w:rsidRPr="00E541D8">
        <w:rPr>
          <w:rFonts w:eastAsia="TimesNewRomanPSMT" w:cstheme="minorHAnsi"/>
        </w:rPr>
        <w:t>, T., and Roth, K. (2002) ‘Adoption of an organizational practice by subsidiaries of multinational corporations: Institutional and relational effects’, Academy of management journal, Vol. 45, No. 1, pp. 215-233.</w:t>
      </w:r>
    </w:p>
    <w:p w14:paraId="57E2A66B" w14:textId="264F2146" w:rsidR="0083204E" w:rsidRPr="00E541D8" w:rsidRDefault="00C646C6" w:rsidP="0083204E">
      <w:pPr>
        <w:pStyle w:val="Listenabsatz"/>
        <w:numPr>
          <w:ilvl w:val="0"/>
          <w:numId w:val="1"/>
        </w:numPr>
        <w:pBdr>
          <w:top w:val="nil"/>
          <w:left w:val="nil"/>
          <w:bottom w:val="nil"/>
          <w:right w:val="nil"/>
          <w:between w:val="nil"/>
        </w:pBdr>
        <w:shd w:val="clear" w:color="auto" w:fill="FFFFFF"/>
        <w:spacing w:after="280" w:line="360" w:lineRule="auto"/>
        <w:jc w:val="both"/>
        <w:rPr>
          <w:rFonts w:eastAsia="TimesNewRomanPSMT" w:cstheme="minorHAnsi"/>
        </w:rPr>
      </w:pPr>
      <w:proofErr w:type="spellStart"/>
      <w:r w:rsidRPr="00E541D8">
        <w:rPr>
          <w:rFonts w:eastAsia="TimesNewRomanPSMT" w:cstheme="minorHAnsi"/>
        </w:rPr>
        <w:lastRenderedPageBreak/>
        <w:t>Kulpa</w:t>
      </w:r>
      <w:proofErr w:type="spellEnd"/>
      <w:r w:rsidRPr="00E541D8">
        <w:rPr>
          <w:rFonts w:eastAsia="TimesNewRomanPSMT" w:cstheme="minorHAnsi"/>
        </w:rPr>
        <w:t>, R. (2014) ‘Western leveraged pedagogy of Central and Eastern Europe: discourses of homophobia, tolerance, and nationhood’ Gender, Place &amp; Culture, Vol. 21 No. 4, pp. 431-448, DOI: </w:t>
      </w:r>
      <w:hyperlink r:id="rId17" w:history="1">
        <w:r w:rsidRPr="00E541D8">
          <w:rPr>
            <w:rFonts w:eastAsia="TimesNewRomanPSMT" w:cstheme="minorHAnsi"/>
          </w:rPr>
          <w:t>10.1080/0966369X.2013.793656</w:t>
        </w:r>
      </w:hyperlink>
    </w:p>
    <w:p w14:paraId="3338ED3F" w14:textId="075EB8C2" w:rsidR="009B1237" w:rsidRPr="00E541D8" w:rsidRDefault="001B232D" w:rsidP="0083204E">
      <w:pPr>
        <w:pStyle w:val="Default"/>
        <w:numPr>
          <w:ilvl w:val="0"/>
          <w:numId w:val="1"/>
        </w:numPr>
        <w:spacing w:line="360" w:lineRule="auto"/>
        <w:jc w:val="both"/>
        <w:rPr>
          <w:rFonts w:asciiTheme="minorHAnsi" w:eastAsia="TimesNewRomanPSMT" w:hAnsiTheme="minorHAnsi" w:cstheme="minorHAnsi"/>
          <w:lang w:val="en-GB"/>
        </w:rPr>
      </w:pPr>
      <w:proofErr w:type="spellStart"/>
      <w:r w:rsidRPr="00E541D8">
        <w:rPr>
          <w:rFonts w:asciiTheme="minorHAnsi" w:eastAsia="TimesNewRomanPSMT" w:hAnsiTheme="minorHAnsi" w:cstheme="minorHAnsi"/>
          <w:lang w:val="en-GB"/>
        </w:rPr>
        <w:t>Latukha</w:t>
      </w:r>
      <w:proofErr w:type="spellEnd"/>
      <w:r w:rsidRPr="00E541D8">
        <w:rPr>
          <w:rFonts w:asciiTheme="minorHAnsi" w:eastAsia="TimesNewRomanPSMT" w:hAnsiTheme="minorHAnsi" w:cstheme="minorHAnsi"/>
          <w:lang w:val="en-GB"/>
        </w:rPr>
        <w:t xml:space="preserve">, M. and </w:t>
      </w:r>
      <w:proofErr w:type="spellStart"/>
      <w:r w:rsidRPr="00E541D8">
        <w:rPr>
          <w:rFonts w:asciiTheme="minorHAnsi" w:eastAsia="TimesNewRomanPSMT" w:hAnsiTheme="minorHAnsi" w:cstheme="minorHAnsi"/>
          <w:lang w:val="en-GB"/>
        </w:rPr>
        <w:t>Malko</w:t>
      </w:r>
      <w:proofErr w:type="spellEnd"/>
      <w:r w:rsidRPr="00E541D8">
        <w:rPr>
          <w:rFonts w:asciiTheme="minorHAnsi" w:eastAsia="TimesNewRomanPSMT" w:hAnsiTheme="minorHAnsi" w:cstheme="minorHAnsi"/>
          <w:lang w:val="en-GB"/>
        </w:rPr>
        <w:t xml:space="preserve">, K. (2019) "Westernization or localization of human resource management practices in CIS countries? Evidence from Kazakh firms", International Journal of Emerging Markets, Vol. 14, No. 3, pp. 385-409. </w:t>
      </w:r>
      <w:hyperlink r:id="rId18" w:history="1">
        <w:r w:rsidR="00664FD6" w:rsidRPr="00E541D8">
          <w:rPr>
            <w:rStyle w:val="Hyperlink"/>
            <w:rFonts w:asciiTheme="minorHAnsi" w:eastAsia="TimesNewRomanPSMT" w:hAnsiTheme="minorHAnsi" w:cstheme="minorHAnsi"/>
            <w:lang w:val="en-GB"/>
          </w:rPr>
          <w:t>https://doi.org/10.1108/IJOEM-05-2016-0122</w:t>
        </w:r>
      </w:hyperlink>
    </w:p>
    <w:p w14:paraId="69E19148" w14:textId="78D7423B" w:rsidR="004F08D2" w:rsidRPr="00E541D8" w:rsidRDefault="009B1237" w:rsidP="00B758AA">
      <w:pPr>
        <w:pStyle w:val="Default"/>
        <w:numPr>
          <w:ilvl w:val="0"/>
          <w:numId w:val="1"/>
        </w:numPr>
        <w:spacing w:line="360" w:lineRule="auto"/>
        <w:jc w:val="both"/>
        <w:rPr>
          <w:rFonts w:asciiTheme="minorHAnsi" w:eastAsia="TimesNewRomanPSMT" w:hAnsiTheme="minorHAnsi" w:cstheme="minorHAnsi"/>
          <w:lang w:val="en-GB"/>
        </w:rPr>
      </w:pPr>
      <w:r w:rsidRPr="00E541D8">
        <w:rPr>
          <w:rFonts w:asciiTheme="minorHAnsi" w:eastAsia="TimesNewRomanPSMT" w:hAnsiTheme="minorHAnsi" w:cstheme="minorHAnsi"/>
          <w:lang w:val="en-GB"/>
        </w:rPr>
        <w:t>Lawrence, T. B.</w:t>
      </w:r>
      <w:r w:rsidR="00647587" w:rsidRPr="00E541D8">
        <w:rPr>
          <w:rFonts w:asciiTheme="minorHAnsi" w:eastAsia="TimesNewRomanPSMT" w:hAnsiTheme="minorHAnsi" w:cstheme="minorHAnsi"/>
          <w:lang w:val="en-GB"/>
        </w:rPr>
        <w:t xml:space="preserve"> and</w:t>
      </w:r>
      <w:r w:rsidRPr="00E541D8">
        <w:rPr>
          <w:rFonts w:asciiTheme="minorHAnsi" w:eastAsia="TimesNewRomanPSMT" w:hAnsiTheme="minorHAnsi" w:cstheme="minorHAnsi"/>
          <w:lang w:val="en-GB"/>
        </w:rPr>
        <w:t xml:space="preserve"> Suddaby, R. (2006). "Institutions and Institutional work". In Clegg, S; Hardy, C; Lawrence, T (eds.). Handbook of Organization Studies (2nd ed.). London: Sage. pp. 215–254.</w:t>
      </w:r>
    </w:p>
    <w:p w14:paraId="279047B3" w14:textId="42B7393E" w:rsidR="00647587" w:rsidRDefault="004F08D2" w:rsidP="004F08D2">
      <w:pPr>
        <w:pStyle w:val="Default"/>
        <w:numPr>
          <w:ilvl w:val="0"/>
          <w:numId w:val="1"/>
        </w:numPr>
        <w:spacing w:line="360" w:lineRule="auto"/>
        <w:jc w:val="both"/>
        <w:rPr>
          <w:rFonts w:asciiTheme="minorHAnsi" w:eastAsia="TimesNewRomanPSMT" w:hAnsiTheme="minorHAnsi" w:cstheme="minorHAnsi"/>
          <w:lang w:val="en-GB"/>
        </w:rPr>
      </w:pPr>
      <w:r w:rsidRPr="00E541D8">
        <w:rPr>
          <w:rFonts w:asciiTheme="minorHAnsi" w:eastAsia="TimesNewRomanPSMT" w:hAnsiTheme="minorHAnsi" w:cstheme="minorHAnsi"/>
          <w:lang w:val="en-GB"/>
        </w:rPr>
        <w:t xml:space="preserve">Lawrence, T.B., Suddaby, R. and </w:t>
      </w:r>
      <w:proofErr w:type="spellStart"/>
      <w:r w:rsidRPr="00E541D8">
        <w:rPr>
          <w:rFonts w:asciiTheme="minorHAnsi" w:eastAsia="TimesNewRomanPSMT" w:hAnsiTheme="minorHAnsi" w:cstheme="minorHAnsi"/>
          <w:lang w:val="en-GB"/>
        </w:rPr>
        <w:t>Leca</w:t>
      </w:r>
      <w:proofErr w:type="spellEnd"/>
      <w:r w:rsidRPr="00E541D8">
        <w:rPr>
          <w:rFonts w:asciiTheme="minorHAnsi" w:eastAsia="TimesNewRomanPSMT" w:hAnsiTheme="minorHAnsi" w:cstheme="minorHAnsi"/>
          <w:lang w:val="en-GB"/>
        </w:rPr>
        <w:t xml:space="preserve">, B. (2009) ‘Introduction: theorizing and studying institutional work’, in T.B. Lawrence, R. Suddaby, and B. </w:t>
      </w:r>
      <w:proofErr w:type="spellStart"/>
      <w:r w:rsidRPr="00E541D8">
        <w:rPr>
          <w:rFonts w:asciiTheme="minorHAnsi" w:eastAsia="TimesNewRomanPSMT" w:hAnsiTheme="minorHAnsi" w:cstheme="minorHAnsi"/>
          <w:lang w:val="en-GB"/>
        </w:rPr>
        <w:t>Leca</w:t>
      </w:r>
      <w:proofErr w:type="spellEnd"/>
      <w:r w:rsidRPr="00E541D8">
        <w:rPr>
          <w:rFonts w:asciiTheme="minorHAnsi" w:eastAsia="TimesNewRomanPSMT" w:hAnsiTheme="minorHAnsi" w:cstheme="minorHAnsi"/>
          <w:lang w:val="en-GB"/>
        </w:rPr>
        <w:t xml:space="preserve"> (eds.) Institutional Work: Actors and Agency in Institutional Studies of Organizations. Cambridge: Cambridge University Press, pp. 1–28.</w:t>
      </w:r>
    </w:p>
    <w:p w14:paraId="2FC6DA56" w14:textId="06C32698" w:rsidR="00BA4B57" w:rsidRPr="00BA4B57" w:rsidRDefault="00BA4B57" w:rsidP="00BA4B57">
      <w:pPr>
        <w:numPr>
          <w:ilvl w:val="0"/>
          <w:numId w:val="1"/>
        </w:numPr>
        <w:pBdr>
          <w:top w:val="nil"/>
          <w:left w:val="nil"/>
          <w:bottom w:val="nil"/>
          <w:right w:val="nil"/>
          <w:between w:val="nil"/>
        </w:pBdr>
        <w:spacing w:line="480" w:lineRule="auto"/>
        <w:jc w:val="both"/>
        <w:rPr>
          <w:lang w:val="de-DE"/>
        </w:rPr>
      </w:pPr>
      <w:r w:rsidRPr="00BA4B57">
        <w:rPr>
          <w:lang w:val="de-DE"/>
        </w:rPr>
        <w:t>Mayring, P. (2015): Qualitative Inhaltsanalyse: Grundlagen und Techniken, Weinheim: Beltz.</w:t>
      </w:r>
    </w:p>
    <w:p w14:paraId="4C9F0137" w14:textId="0B0E7E7E" w:rsidR="0083204E" w:rsidRPr="00E541D8" w:rsidRDefault="0083204E" w:rsidP="0083204E">
      <w:pPr>
        <w:pStyle w:val="Listenabsatz"/>
        <w:numPr>
          <w:ilvl w:val="0"/>
          <w:numId w:val="1"/>
        </w:numPr>
        <w:pBdr>
          <w:top w:val="nil"/>
          <w:left w:val="nil"/>
          <w:bottom w:val="nil"/>
          <w:right w:val="nil"/>
          <w:between w:val="nil"/>
        </w:pBdr>
        <w:spacing w:after="120" w:line="360" w:lineRule="auto"/>
        <w:jc w:val="both"/>
        <w:rPr>
          <w:color w:val="222222"/>
        </w:rPr>
      </w:pPr>
      <w:r w:rsidRPr="00E541D8">
        <w:rPr>
          <w:color w:val="222222"/>
        </w:rPr>
        <w:t xml:space="preserve">Metcalfe, D. and </w:t>
      </w:r>
      <w:proofErr w:type="spellStart"/>
      <w:r w:rsidRPr="00E541D8">
        <w:rPr>
          <w:color w:val="222222"/>
        </w:rPr>
        <w:t>Afanassieva</w:t>
      </w:r>
      <w:proofErr w:type="spellEnd"/>
      <w:r w:rsidRPr="00E541D8">
        <w:rPr>
          <w:color w:val="222222"/>
        </w:rPr>
        <w:t xml:space="preserve">, M. (2005), ‘Gender, work, and equal opportunities in central and eastern Europe’, </w:t>
      </w:r>
      <w:r w:rsidRPr="00E541D8">
        <w:rPr>
          <w:i/>
          <w:iCs/>
          <w:color w:val="222222"/>
        </w:rPr>
        <w:t>Women in Management Review</w:t>
      </w:r>
      <w:r w:rsidRPr="00E541D8">
        <w:rPr>
          <w:color w:val="222222"/>
        </w:rPr>
        <w:t>, Vol. 20 No. 6, pp. 397-411. https://doi.org/10.1108/09649420510616791</w:t>
      </w:r>
    </w:p>
    <w:p w14:paraId="64978239" w14:textId="11634B29" w:rsidR="0083204E" w:rsidRDefault="0083204E" w:rsidP="0083204E">
      <w:pPr>
        <w:pStyle w:val="Listenabsatz"/>
        <w:numPr>
          <w:ilvl w:val="0"/>
          <w:numId w:val="1"/>
        </w:numPr>
        <w:pBdr>
          <w:top w:val="nil"/>
          <w:left w:val="nil"/>
          <w:bottom w:val="nil"/>
          <w:right w:val="nil"/>
          <w:between w:val="nil"/>
        </w:pBdr>
        <w:spacing w:after="120" w:line="360" w:lineRule="auto"/>
        <w:jc w:val="both"/>
        <w:rPr>
          <w:color w:val="222222"/>
        </w:rPr>
      </w:pPr>
      <w:r w:rsidRPr="00E541D8">
        <w:rPr>
          <w:color w:val="222222"/>
        </w:rPr>
        <w:t xml:space="preserve">Meyer, J. and Rowan, B. (1977) ‘Institutionalized organizations: formal structure as myth and ceremony’, </w:t>
      </w:r>
      <w:r w:rsidRPr="00E541D8">
        <w:rPr>
          <w:i/>
          <w:color w:val="222222"/>
        </w:rPr>
        <w:t>American Journal of Sociology,</w:t>
      </w:r>
      <w:r w:rsidRPr="00E541D8">
        <w:rPr>
          <w:color w:val="222222"/>
        </w:rPr>
        <w:t xml:space="preserve"> Vol. 83, pp. 41–62.</w:t>
      </w:r>
    </w:p>
    <w:p w14:paraId="4AEA8269" w14:textId="588F53F7" w:rsidR="00945CE8" w:rsidRPr="00945CE8" w:rsidRDefault="00945CE8" w:rsidP="00945CE8">
      <w:pPr>
        <w:pStyle w:val="Listenabsatz"/>
        <w:numPr>
          <w:ilvl w:val="0"/>
          <w:numId w:val="1"/>
        </w:numPr>
        <w:pBdr>
          <w:top w:val="nil"/>
          <w:left w:val="nil"/>
          <w:bottom w:val="nil"/>
          <w:right w:val="nil"/>
          <w:between w:val="nil"/>
        </w:pBdr>
        <w:spacing w:after="120" w:line="360" w:lineRule="auto"/>
        <w:jc w:val="both"/>
        <w:rPr>
          <w:color w:val="222222"/>
        </w:rPr>
      </w:pPr>
      <w:r w:rsidRPr="00945CE8">
        <w:rPr>
          <w:color w:val="222222"/>
        </w:rPr>
        <w:t>Miah, M. K., Sarah, M. K., &amp; Takahashi, Y. (2022)</w:t>
      </w:r>
      <w:r>
        <w:rPr>
          <w:color w:val="222222"/>
        </w:rPr>
        <w:t xml:space="preserve"> ‘</w:t>
      </w:r>
      <w:r w:rsidRPr="00945CE8">
        <w:rPr>
          <w:color w:val="222222"/>
        </w:rPr>
        <w:t>Human Resource Management Practices of Foreign Manufacturing Companies in Bangladesh: A Comparative Study</w:t>
      </w:r>
      <w:r>
        <w:rPr>
          <w:color w:val="222222"/>
        </w:rPr>
        <w:t xml:space="preserve">’, </w:t>
      </w:r>
      <w:r w:rsidRPr="00945CE8">
        <w:rPr>
          <w:i/>
          <w:iCs/>
          <w:color w:val="222222"/>
        </w:rPr>
        <w:t>South Asian Journal of Human Resources Management</w:t>
      </w:r>
      <w:r w:rsidRPr="00945CE8">
        <w:rPr>
          <w:color w:val="222222"/>
        </w:rPr>
        <w:t>, </w:t>
      </w:r>
      <w:r>
        <w:rPr>
          <w:color w:val="222222"/>
        </w:rPr>
        <w:t xml:space="preserve">Vol. </w:t>
      </w:r>
      <w:r w:rsidRPr="00945CE8">
        <w:rPr>
          <w:color w:val="222222"/>
        </w:rPr>
        <w:t>9</w:t>
      </w:r>
      <w:r>
        <w:rPr>
          <w:color w:val="222222"/>
        </w:rPr>
        <w:t xml:space="preserve"> No.</w:t>
      </w:r>
      <w:r w:rsidRPr="00945CE8">
        <w:rPr>
          <w:color w:val="222222"/>
        </w:rPr>
        <w:t xml:space="preserve">2, </w:t>
      </w:r>
      <w:r>
        <w:rPr>
          <w:color w:val="222222"/>
        </w:rPr>
        <w:t xml:space="preserve">pp. </w:t>
      </w:r>
      <w:r w:rsidRPr="00945CE8">
        <w:rPr>
          <w:color w:val="222222"/>
        </w:rPr>
        <w:t>301-323. </w:t>
      </w:r>
      <w:hyperlink r:id="rId19" w:history="1">
        <w:r w:rsidRPr="00945CE8">
          <w:rPr>
            <w:color w:val="222222"/>
          </w:rPr>
          <w:t>https://doi.org/10.1177/23220937221125552</w:t>
        </w:r>
      </w:hyperlink>
    </w:p>
    <w:p w14:paraId="31B935F3" w14:textId="3DBE2E0A" w:rsidR="00353223" w:rsidRPr="00E541D8" w:rsidRDefault="00647587" w:rsidP="00353223">
      <w:pPr>
        <w:pStyle w:val="Default"/>
        <w:numPr>
          <w:ilvl w:val="0"/>
          <w:numId w:val="1"/>
        </w:numPr>
        <w:spacing w:line="360" w:lineRule="auto"/>
        <w:jc w:val="both"/>
        <w:rPr>
          <w:rFonts w:asciiTheme="minorHAnsi" w:eastAsia="TimesNewRomanPSMT" w:hAnsiTheme="minorHAnsi" w:cstheme="minorHAnsi"/>
          <w:lang w:val="en-GB"/>
        </w:rPr>
      </w:pPr>
      <w:proofErr w:type="spellStart"/>
      <w:r w:rsidRPr="00E541D8">
        <w:rPr>
          <w:rFonts w:asciiTheme="minorHAnsi" w:eastAsia="TimesNewRomanPSMT" w:hAnsiTheme="minorHAnsi" w:cstheme="minorHAnsi"/>
          <w:lang w:val="en-GB"/>
        </w:rPr>
        <w:t>Mor</w:t>
      </w:r>
      <w:proofErr w:type="spellEnd"/>
      <w:r w:rsidRPr="00E541D8">
        <w:rPr>
          <w:rFonts w:asciiTheme="minorHAnsi" w:eastAsia="TimesNewRomanPSMT" w:hAnsiTheme="minorHAnsi" w:cstheme="minorHAnsi"/>
          <w:lang w:val="en-GB"/>
        </w:rPr>
        <w:t xml:space="preserve"> Barak, M., </w:t>
      </w:r>
      <w:proofErr w:type="spellStart"/>
      <w:r w:rsidRPr="00E541D8">
        <w:rPr>
          <w:rFonts w:asciiTheme="minorHAnsi" w:eastAsia="TimesNewRomanPSMT" w:hAnsiTheme="minorHAnsi" w:cstheme="minorHAnsi"/>
          <w:lang w:val="en-GB"/>
        </w:rPr>
        <w:t>Lizano</w:t>
      </w:r>
      <w:proofErr w:type="spellEnd"/>
      <w:r w:rsidRPr="00E541D8">
        <w:rPr>
          <w:rFonts w:asciiTheme="minorHAnsi" w:eastAsia="TimesNewRomanPSMT" w:hAnsiTheme="minorHAnsi" w:cstheme="minorHAnsi"/>
          <w:lang w:val="en-GB"/>
        </w:rPr>
        <w:t>, E., Kim, A. Duan, L., Rhee, M., Hsiao, H. and Brimhall, K. (2016) `The Promise of Diversity Management for Climate of Inclusion: A State-of-the-Art Review and Meta-Analysis` Human Service Organizations: Management, Leadership &amp; Governance. Vol. 40, No. 4, pp. 305-333. 10.1080/23303131.2016.1138915</w:t>
      </w:r>
    </w:p>
    <w:p w14:paraId="742B9336" w14:textId="299301E3" w:rsidR="0083204E" w:rsidRPr="00E541D8" w:rsidRDefault="0083204E" w:rsidP="0083204E">
      <w:pPr>
        <w:pStyle w:val="Listenabsatz"/>
        <w:numPr>
          <w:ilvl w:val="0"/>
          <w:numId w:val="1"/>
        </w:numPr>
        <w:spacing w:after="120" w:line="360" w:lineRule="auto"/>
        <w:jc w:val="both"/>
        <w:rPr>
          <w:color w:val="222222"/>
        </w:rPr>
      </w:pPr>
      <w:r w:rsidRPr="00E541D8">
        <w:rPr>
          <w:color w:val="222222"/>
        </w:rPr>
        <w:lastRenderedPageBreak/>
        <w:t xml:space="preserve">Morley, M. J., </w:t>
      </w:r>
      <w:proofErr w:type="spellStart"/>
      <w:r w:rsidRPr="00E541D8">
        <w:rPr>
          <w:color w:val="222222"/>
        </w:rPr>
        <w:t>Heraty</w:t>
      </w:r>
      <w:proofErr w:type="spellEnd"/>
      <w:r w:rsidRPr="00E541D8">
        <w:rPr>
          <w:color w:val="222222"/>
        </w:rPr>
        <w:t xml:space="preserve">, N., and </w:t>
      </w:r>
      <w:proofErr w:type="spellStart"/>
      <w:r w:rsidRPr="00E541D8">
        <w:rPr>
          <w:color w:val="222222"/>
        </w:rPr>
        <w:t>Michailova</w:t>
      </w:r>
      <w:proofErr w:type="spellEnd"/>
      <w:r w:rsidRPr="00E541D8">
        <w:rPr>
          <w:color w:val="222222"/>
        </w:rPr>
        <w:t xml:space="preserve">, S. (2016) </w:t>
      </w:r>
      <w:r w:rsidRPr="00E541D8">
        <w:rPr>
          <w:i/>
          <w:color w:val="222222"/>
        </w:rPr>
        <w:t>Managing human resources in Central and Eastern Europe</w:t>
      </w:r>
      <w:r w:rsidRPr="00E541D8">
        <w:rPr>
          <w:color w:val="222222"/>
        </w:rPr>
        <w:t>. Routledge.</w:t>
      </w:r>
    </w:p>
    <w:p w14:paraId="10628D8E" w14:textId="034397DF" w:rsidR="00B758AA" w:rsidRPr="00E541D8" w:rsidRDefault="00B758AA" w:rsidP="0083204E">
      <w:pPr>
        <w:pStyle w:val="Listenabsatz"/>
        <w:numPr>
          <w:ilvl w:val="0"/>
          <w:numId w:val="1"/>
        </w:numPr>
        <w:spacing w:after="120" w:line="360" w:lineRule="auto"/>
        <w:jc w:val="both"/>
        <w:rPr>
          <w:color w:val="222222"/>
        </w:rPr>
      </w:pPr>
      <w:proofErr w:type="spellStart"/>
      <w:r w:rsidRPr="00E541D8">
        <w:rPr>
          <w:color w:val="222222"/>
        </w:rPr>
        <w:t>Németh</w:t>
      </w:r>
      <w:proofErr w:type="spellEnd"/>
      <w:r w:rsidRPr="00E541D8">
        <w:rPr>
          <w:color w:val="222222"/>
        </w:rPr>
        <w:t xml:space="preserve">, Á., </w:t>
      </w:r>
      <w:proofErr w:type="spellStart"/>
      <w:r w:rsidRPr="00E541D8">
        <w:rPr>
          <w:color w:val="222222"/>
        </w:rPr>
        <w:t>Sümeghy</w:t>
      </w:r>
      <w:proofErr w:type="spellEnd"/>
      <w:r w:rsidRPr="00E541D8">
        <w:rPr>
          <w:color w:val="222222"/>
        </w:rPr>
        <w:t xml:space="preserve">, D., </w:t>
      </w:r>
      <w:proofErr w:type="spellStart"/>
      <w:r w:rsidRPr="00E541D8">
        <w:rPr>
          <w:color w:val="222222"/>
        </w:rPr>
        <w:t>Trócsányi</w:t>
      </w:r>
      <w:proofErr w:type="spellEnd"/>
      <w:r w:rsidRPr="00E541D8">
        <w:rPr>
          <w:color w:val="222222"/>
        </w:rPr>
        <w:t xml:space="preserve">, A. and </w:t>
      </w:r>
      <w:proofErr w:type="spellStart"/>
      <w:r w:rsidRPr="00E541D8">
        <w:rPr>
          <w:color w:val="222222"/>
        </w:rPr>
        <w:t>Pirisi</w:t>
      </w:r>
      <w:proofErr w:type="spellEnd"/>
      <w:r w:rsidRPr="00E541D8">
        <w:rPr>
          <w:color w:val="222222"/>
        </w:rPr>
        <w:t xml:space="preserve">, G. (2022), "Competing diversity indices and attitudes toward cultural pluralism in Europe", </w:t>
      </w:r>
      <w:r w:rsidRPr="00E541D8">
        <w:rPr>
          <w:i/>
          <w:iCs/>
          <w:color w:val="222222"/>
        </w:rPr>
        <w:t>Equality, Diversity and Inclusion</w:t>
      </w:r>
      <w:r w:rsidRPr="00E541D8">
        <w:rPr>
          <w:color w:val="222222"/>
        </w:rPr>
        <w:t>, Vol. 41 No. 7, pp. 1029-1046. https://doi.org/10.1108/EDI-02-2019-0087</w:t>
      </w:r>
    </w:p>
    <w:p w14:paraId="526D794B" w14:textId="326BFEC8" w:rsidR="00B758AA" w:rsidRPr="00E541D8" w:rsidRDefault="00B758AA" w:rsidP="00B758AA">
      <w:pPr>
        <w:pStyle w:val="Listenabsatz"/>
        <w:numPr>
          <w:ilvl w:val="0"/>
          <w:numId w:val="1"/>
        </w:numPr>
        <w:spacing w:after="200" w:line="360" w:lineRule="auto"/>
        <w:jc w:val="both"/>
        <w:rPr>
          <w:color w:val="222222"/>
        </w:rPr>
      </w:pPr>
      <w:proofErr w:type="spellStart"/>
      <w:r w:rsidRPr="00E541D8">
        <w:rPr>
          <w:color w:val="222222"/>
        </w:rPr>
        <w:t>Peretz</w:t>
      </w:r>
      <w:proofErr w:type="spellEnd"/>
      <w:r w:rsidRPr="00E541D8">
        <w:rPr>
          <w:color w:val="222222"/>
        </w:rPr>
        <w:t xml:space="preserve">, H., Levi, A. &amp; Fried, Y. (2015) ‘Organizational diversity programs across cultures: effects on absenteeism, turnover, performance and innovation’, </w:t>
      </w:r>
      <w:r w:rsidRPr="00E541D8">
        <w:rPr>
          <w:i/>
          <w:iCs/>
          <w:color w:val="222222"/>
        </w:rPr>
        <w:t>The International Journal of Human Resource Management,</w:t>
      </w:r>
      <w:r w:rsidRPr="00E541D8">
        <w:rPr>
          <w:color w:val="222222"/>
        </w:rPr>
        <w:t xml:space="preserve"> Vol. 26 No. 6, pp. 875-903.</w:t>
      </w:r>
    </w:p>
    <w:p w14:paraId="1FAFAC51" w14:textId="77777777" w:rsidR="001B232D" w:rsidRPr="00E541D8" w:rsidRDefault="001B232D" w:rsidP="00310B5C">
      <w:pPr>
        <w:pStyle w:val="Default"/>
        <w:numPr>
          <w:ilvl w:val="0"/>
          <w:numId w:val="1"/>
        </w:numPr>
        <w:spacing w:line="360" w:lineRule="auto"/>
        <w:jc w:val="both"/>
        <w:rPr>
          <w:rFonts w:asciiTheme="minorHAnsi" w:eastAsia="TimesNewRomanPSMT" w:hAnsiTheme="minorHAnsi" w:cstheme="minorHAnsi"/>
          <w:lang w:val="en-GB"/>
        </w:rPr>
      </w:pPr>
      <w:r w:rsidRPr="00E541D8">
        <w:rPr>
          <w:rFonts w:asciiTheme="minorHAnsi" w:eastAsia="TimesNewRomanPSMT" w:hAnsiTheme="minorHAnsi" w:cstheme="minorHAnsi"/>
          <w:lang w:val="en-GB"/>
        </w:rPr>
        <w:t>Pringle, J.K. and Ryan, I. (2015) ‘Understanding context in diversity management: a multi-level analysis’, Equality, Diversity and Inclusion, Vol. 34, No. 6, pp. 470-482. https://doi.org/10.1108/DEI-05-2015-0031</w:t>
      </w:r>
    </w:p>
    <w:p w14:paraId="50E7CBE5" w14:textId="77777777" w:rsidR="00291166" w:rsidRPr="00E541D8" w:rsidRDefault="001B232D" w:rsidP="00310B5C">
      <w:pPr>
        <w:pStyle w:val="Default"/>
        <w:numPr>
          <w:ilvl w:val="0"/>
          <w:numId w:val="1"/>
        </w:numPr>
        <w:spacing w:line="360" w:lineRule="auto"/>
        <w:jc w:val="both"/>
        <w:rPr>
          <w:rFonts w:asciiTheme="minorHAnsi" w:eastAsia="TimesNewRomanPSMT" w:hAnsiTheme="minorHAnsi" w:cstheme="minorHAnsi"/>
          <w:lang w:val="en-GB"/>
        </w:rPr>
      </w:pPr>
      <w:proofErr w:type="spellStart"/>
      <w:r w:rsidRPr="00E541D8">
        <w:rPr>
          <w:rFonts w:asciiTheme="minorHAnsi" w:eastAsia="TimesNewRomanPSMT" w:hAnsiTheme="minorHAnsi" w:cstheme="minorHAnsi"/>
          <w:lang w:val="en-GB"/>
        </w:rPr>
        <w:t>Pudelko</w:t>
      </w:r>
      <w:proofErr w:type="spellEnd"/>
      <w:r w:rsidRPr="00E541D8">
        <w:rPr>
          <w:rFonts w:asciiTheme="minorHAnsi" w:eastAsia="TimesNewRomanPSMT" w:hAnsiTheme="minorHAnsi" w:cstheme="minorHAnsi"/>
          <w:lang w:val="en-GB"/>
        </w:rPr>
        <w:t xml:space="preserve">, M. and </w:t>
      </w:r>
      <w:proofErr w:type="spellStart"/>
      <w:r w:rsidRPr="00E541D8">
        <w:rPr>
          <w:rFonts w:asciiTheme="minorHAnsi" w:eastAsia="TimesNewRomanPSMT" w:hAnsiTheme="minorHAnsi" w:cstheme="minorHAnsi"/>
          <w:lang w:val="en-GB"/>
        </w:rPr>
        <w:t>Harzing</w:t>
      </w:r>
      <w:proofErr w:type="spellEnd"/>
      <w:r w:rsidRPr="00E541D8">
        <w:rPr>
          <w:rFonts w:asciiTheme="minorHAnsi" w:eastAsia="TimesNewRomanPSMT" w:hAnsiTheme="minorHAnsi" w:cstheme="minorHAnsi"/>
          <w:lang w:val="en-GB"/>
        </w:rPr>
        <w:t xml:space="preserve">, A.W. (2007) ‘Country-of-origin, localization, or dominance effect? An empirical investigation of HRM practises in foreign subsidiaries’, Human Resource Management, Vol. 46, pp. 535–559. </w:t>
      </w:r>
      <w:hyperlink r:id="rId20" w:history="1">
        <w:r w:rsidR="00664FD6" w:rsidRPr="00E541D8">
          <w:rPr>
            <w:rStyle w:val="Hyperlink"/>
            <w:rFonts w:asciiTheme="minorHAnsi" w:eastAsia="TimesNewRomanPSMT" w:hAnsiTheme="minorHAnsi" w:cstheme="minorHAnsi"/>
            <w:lang w:val="en-GB"/>
          </w:rPr>
          <w:t>https://doi.org/10.1002/hrm.20181</w:t>
        </w:r>
      </w:hyperlink>
    </w:p>
    <w:p w14:paraId="3800AB50" w14:textId="611B26CA" w:rsidR="00B758AA" w:rsidRDefault="00B758AA" w:rsidP="00B758AA">
      <w:pPr>
        <w:pStyle w:val="Listenabsatz"/>
        <w:numPr>
          <w:ilvl w:val="0"/>
          <w:numId w:val="1"/>
        </w:numPr>
        <w:spacing w:after="120" w:line="360" w:lineRule="auto"/>
        <w:jc w:val="both"/>
      </w:pPr>
      <w:r w:rsidRPr="00E541D8">
        <w:t xml:space="preserve">Scott, W. R. (1995) </w:t>
      </w:r>
      <w:r w:rsidRPr="0041320F">
        <w:t>Institutions and organizations.</w:t>
      </w:r>
      <w:r w:rsidRPr="00E541D8">
        <w:t xml:space="preserve"> SAGE Publications. </w:t>
      </w:r>
    </w:p>
    <w:p w14:paraId="4091A2FB" w14:textId="7FD4F4B6" w:rsidR="0041320F" w:rsidRPr="00E541D8" w:rsidRDefault="0041320F" w:rsidP="0041320F">
      <w:pPr>
        <w:pStyle w:val="Listenabsatz"/>
        <w:numPr>
          <w:ilvl w:val="0"/>
          <w:numId w:val="1"/>
        </w:numPr>
        <w:spacing w:after="120" w:line="360" w:lineRule="auto"/>
        <w:jc w:val="both"/>
      </w:pPr>
      <w:r w:rsidRPr="0041320F">
        <w:t>Song, J. (2021). Transfer of HR practices in MNCs: A literature review and research agenda. The International Journal of Human Resource Management, 32(1), 192-220.</w:t>
      </w:r>
    </w:p>
    <w:p w14:paraId="4F4E8B7C" w14:textId="69BEF051" w:rsidR="00291166" w:rsidRPr="00E541D8" w:rsidRDefault="00291166" w:rsidP="00310B5C">
      <w:pPr>
        <w:pStyle w:val="Default"/>
        <w:numPr>
          <w:ilvl w:val="0"/>
          <w:numId w:val="1"/>
        </w:numPr>
        <w:spacing w:line="360" w:lineRule="auto"/>
        <w:jc w:val="both"/>
        <w:rPr>
          <w:rFonts w:asciiTheme="minorHAnsi" w:eastAsia="TimesNewRomanPSMT" w:hAnsiTheme="minorHAnsi" w:cstheme="minorHAnsi"/>
          <w:lang w:val="en-GB"/>
        </w:rPr>
      </w:pPr>
      <w:proofErr w:type="spellStart"/>
      <w:r w:rsidRPr="00E541D8">
        <w:rPr>
          <w:rFonts w:asciiTheme="minorHAnsi" w:eastAsia="TimesNewRomanPSMT" w:hAnsiTheme="minorHAnsi" w:cstheme="minorHAnsi"/>
          <w:lang w:val="en-GB"/>
        </w:rPr>
        <w:t>Sippola</w:t>
      </w:r>
      <w:proofErr w:type="spellEnd"/>
      <w:r w:rsidRPr="00E541D8">
        <w:rPr>
          <w:rFonts w:asciiTheme="minorHAnsi" w:eastAsia="TimesNewRomanPSMT" w:hAnsiTheme="minorHAnsi" w:cstheme="minorHAnsi"/>
          <w:lang w:val="en-GB"/>
        </w:rPr>
        <w:t xml:space="preserve"> A.</w:t>
      </w:r>
      <w:r w:rsidR="00310B5C" w:rsidRPr="00E541D8">
        <w:rPr>
          <w:rFonts w:asciiTheme="minorHAnsi" w:eastAsia="TimesNewRomanPSMT" w:hAnsiTheme="minorHAnsi" w:cstheme="minorHAnsi"/>
          <w:lang w:val="en-GB"/>
        </w:rPr>
        <w:t xml:space="preserve"> and </w:t>
      </w:r>
      <w:proofErr w:type="spellStart"/>
      <w:r w:rsidRPr="00E541D8">
        <w:rPr>
          <w:rFonts w:asciiTheme="minorHAnsi" w:eastAsia="TimesNewRomanPSMT" w:hAnsiTheme="minorHAnsi" w:cstheme="minorHAnsi"/>
          <w:lang w:val="en-GB"/>
        </w:rPr>
        <w:t>Smale</w:t>
      </w:r>
      <w:proofErr w:type="spellEnd"/>
      <w:r w:rsidRPr="00E541D8">
        <w:rPr>
          <w:rFonts w:asciiTheme="minorHAnsi" w:eastAsia="TimesNewRomanPSMT" w:hAnsiTheme="minorHAnsi" w:cstheme="minorHAnsi"/>
          <w:lang w:val="en-GB"/>
        </w:rPr>
        <w:t>, A.  (2007) The global integration of diversity management: a longitudinal case study, The International Journal of Human Resource Management, 18:11, 1895-1916, DOI: 10.1080/09585190701638101</w:t>
      </w:r>
    </w:p>
    <w:p w14:paraId="217101D2" w14:textId="0426CBBC" w:rsidR="00B758AA" w:rsidRPr="00E541D8" w:rsidRDefault="00B758AA" w:rsidP="00B758AA">
      <w:pPr>
        <w:pStyle w:val="Listenabsatz"/>
        <w:numPr>
          <w:ilvl w:val="0"/>
          <w:numId w:val="1"/>
        </w:numPr>
        <w:spacing w:after="120" w:line="360" w:lineRule="auto"/>
        <w:jc w:val="both"/>
      </w:pPr>
      <w:r w:rsidRPr="00E541D8">
        <w:t xml:space="preserve">Syed J. and Özbilgin, M. (2009) ‘A relational framework for international transfer of diversity management practices’, </w:t>
      </w:r>
      <w:r w:rsidRPr="00E541D8">
        <w:rPr>
          <w:i/>
          <w:iCs/>
        </w:rPr>
        <w:t>The International Journal of Human Resource Management</w:t>
      </w:r>
      <w:r w:rsidRPr="00E541D8">
        <w:t>, Vol. 20 No. 12, pp. 2435-2453, DOI: 10.1080/09585190903363755</w:t>
      </w:r>
    </w:p>
    <w:p w14:paraId="7DEDE31F" w14:textId="053038A5" w:rsidR="00664FD6" w:rsidRPr="00E541D8" w:rsidRDefault="00277CD1" w:rsidP="00084099">
      <w:pPr>
        <w:pStyle w:val="Listenabsatz"/>
        <w:numPr>
          <w:ilvl w:val="0"/>
          <w:numId w:val="1"/>
        </w:numPr>
        <w:spacing w:after="120" w:line="360" w:lineRule="auto"/>
        <w:jc w:val="both"/>
      </w:pPr>
      <w:r w:rsidRPr="00D67605">
        <w:rPr>
          <w:lang w:val="de-DE"/>
        </w:rPr>
        <w:t xml:space="preserve">Tang, N., Jiang, Y., Chen, C. et al. </w:t>
      </w:r>
      <w:r w:rsidRPr="00E541D8">
        <w:t>(2015) ‘Inclusion and Inclusion Management in the Chinese Context: An Exploratory Study’,</w:t>
      </w:r>
      <w:r w:rsidRPr="00E541D8">
        <w:rPr>
          <w:i/>
        </w:rPr>
        <w:t xml:space="preserve"> The International Journal of Human Resource Management, </w:t>
      </w:r>
      <w:r w:rsidRPr="00E541D8">
        <w:t>Vol. 26 No. 6, pp. 856–74.</w:t>
      </w:r>
    </w:p>
    <w:p w14:paraId="0A7E729C" w14:textId="3ACB3A58" w:rsidR="001B232D" w:rsidRPr="00E541D8" w:rsidRDefault="001B232D" w:rsidP="00310B5C">
      <w:pPr>
        <w:pStyle w:val="Default"/>
        <w:numPr>
          <w:ilvl w:val="0"/>
          <w:numId w:val="1"/>
        </w:numPr>
        <w:spacing w:line="360" w:lineRule="auto"/>
        <w:jc w:val="both"/>
        <w:rPr>
          <w:rFonts w:asciiTheme="minorHAnsi" w:eastAsia="TimesNewRomanPSMT" w:hAnsiTheme="minorHAnsi" w:cstheme="minorHAnsi"/>
          <w:lang w:val="en-GB"/>
        </w:rPr>
      </w:pPr>
      <w:proofErr w:type="spellStart"/>
      <w:r w:rsidRPr="00E541D8">
        <w:rPr>
          <w:rFonts w:asciiTheme="minorHAnsi" w:eastAsia="TimesNewRomanPSMT" w:hAnsiTheme="minorHAnsi" w:cstheme="minorHAnsi"/>
          <w:lang w:val="en-GB"/>
        </w:rPr>
        <w:t>Tempel</w:t>
      </w:r>
      <w:proofErr w:type="spellEnd"/>
      <w:r w:rsidRPr="00E541D8">
        <w:rPr>
          <w:rFonts w:asciiTheme="minorHAnsi" w:eastAsia="TimesNewRomanPSMT" w:hAnsiTheme="minorHAnsi" w:cstheme="minorHAnsi"/>
          <w:lang w:val="en-GB"/>
        </w:rPr>
        <w:t>, A.</w:t>
      </w:r>
      <w:r w:rsidR="0083204E" w:rsidRPr="00E541D8">
        <w:rPr>
          <w:rFonts w:asciiTheme="minorHAnsi" w:eastAsia="TimesNewRomanPSMT" w:hAnsiTheme="minorHAnsi" w:cstheme="minorHAnsi"/>
          <w:lang w:val="en-GB"/>
        </w:rPr>
        <w:t xml:space="preserve"> and </w:t>
      </w:r>
      <w:proofErr w:type="spellStart"/>
      <w:r w:rsidRPr="00E541D8">
        <w:rPr>
          <w:rFonts w:asciiTheme="minorHAnsi" w:eastAsia="TimesNewRomanPSMT" w:hAnsiTheme="minorHAnsi" w:cstheme="minorHAnsi"/>
          <w:lang w:val="en-GB"/>
        </w:rPr>
        <w:t>Walgenbach</w:t>
      </w:r>
      <w:proofErr w:type="spellEnd"/>
      <w:r w:rsidRPr="00E541D8">
        <w:rPr>
          <w:rFonts w:asciiTheme="minorHAnsi" w:eastAsia="TimesNewRomanPSMT" w:hAnsiTheme="minorHAnsi" w:cstheme="minorHAnsi"/>
          <w:lang w:val="en-GB"/>
        </w:rPr>
        <w:t xml:space="preserve">, P. (2012): </w:t>
      </w:r>
      <w:r w:rsidR="0083204E" w:rsidRPr="00E541D8">
        <w:rPr>
          <w:rFonts w:asciiTheme="minorHAnsi" w:eastAsia="TimesNewRomanPSMT" w:hAnsiTheme="minorHAnsi" w:cstheme="minorHAnsi"/>
          <w:lang w:val="en-GB"/>
        </w:rPr>
        <w:t>‘</w:t>
      </w:r>
      <w:r w:rsidRPr="00E541D8">
        <w:rPr>
          <w:rFonts w:asciiTheme="minorHAnsi" w:eastAsia="TimesNewRomanPSMT" w:hAnsiTheme="minorHAnsi" w:cstheme="minorHAnsi"/>
          <w:lang w:val="en-GB"/>
        </w:rPr>
        <w:t>Subsidiary Managers and the Transfer of Human Resource Practices in Multinational Companies—Institutional Work at the Intersection of Multiple Institutional Frameworks</w:t>
      </w:r>
      <w:r w:rsidR="0083204E" w:rsidRPr="00E541D8">
        <w:rPr>
          <w:rFonts w:asciiTheme="minorHAnsi" w:eastAsia="TimesNewRomanPSMT" w:hAnsiTheme="minorHAnsi" w:cstheme="minorHAnsi"/>
          <w:lang w:val="en-GB"/>
        </w:rPr>
        <w:t xml:space="preserve">’ </w:t>
      </w:r>
      <w:proofErr w:type="spellStart"/>
      <w:r w:rsidRPr="00E541D8">
        <w:rPr>
          <w:rFonts w:asciiTheme="minorHAnsi" w:eastAsia="TimesNewRomanPSMT" w:hAnsiTheme="minorHAnsi" w:cstheme="minorHAnsi"/>
          <w:lang w:val="en-GB"/>
        </w:rPr>
        <w:t>Schmalenbach</w:t>
      </w:r>
      <w:proofErr w:type="spellEnd"/>
      <w:r w:rsidRPr="00E541D8">
        <w:rPr>
          <w:rFonts w:asciiTheme="minorHAnsi" w:eastAsia="TimesNewRomanPSMT" w:hAnsiTheme="minorHAnsi" w:cstheme="minorHAnsi"/>
          <w:lang w:val="en-GB"/>
        </w:rPr>
        <w:t xml:space="preserve"> Business Review, </w:t>
      </w:r>
      <w:r w:rsidR="0083204E" w:rsidRPr="00E541D8">
        <w:rPr>
          <w:rFonts w:asciiTheme="minorHAnsi" w:eastAsia="TimesNewRomanPSMT" w:hAnsiTheme="minorHAnsi" w:cstheme="minorHAnsi"/>
          <w:lang w:val="en-GB"/>
        </w:rPr>
        <w:t xml:space="preserve">Vol. </w:t>
      </w:r>
      <w:r w:rsidRPr="00E541D8">
        <w:rPr>
          <w:rFonts w:asciiTheme="minorHAnsi" w:eastAsia="TimesNewRomanPSMT" w:hAnsiTheme="minorHAnsi" w:cstheme="minorHAnsi"/>
          <w:lang w:val="en-GB"/>
        </w:rPr>
        <w:t>64</w:t>
      </w:r>
      <w:r w:rsidR="0083204E" w:rsidRPr="00E541D8">
        <w:rPr>
          <w:rFonts w:asciiTheme="minorHAnsi" w:eastAsia="TimesNewRomanPSMT" w:hAnsiTheme="minorHAnsi" w:cstheme="minorHAnsi"/>
          <w:lang w:val="en-GB"/>
        </w:rPr>
        <w:t xml:space="preserve"> No. </w:t>
      </w:r>
      <w:r w:rsidRPr="00E541D8">
        <w:rPr>
          <w:rFonts w:asciiTheme="minorHAnsi" w:eastAsia="TimesNewRomanPSMT" w:hAnsiTheme="minorHAnsi" w:cstheme="minorHAnsi"/>
          <w:lang w:val="en-GB"/>
        </w:rPr>
        <w:t xml:space="preserve">3, </w:t>
      </w:r>
      <w:r w:rsidR="0083204E" w:rsidRPr="00E541D8">
        <w:rPr>
          <w:rFonts w:asciiTheme="minorHAnsi" w:eastAsia="TimesNewRomanPSMT" w:hAnsiTheme="minorHAnsi" w:cstheme="minorHAnsi"/>
          <w:lang w:val="en-GB"/>
        </w:rPr>
        <w:t xml:space="preserve">pp. </w:t>
      </w:r>
      <w:r w:rsidRPr="00E541D8">
        <w:rPr>
          <w:rFonts w:asciiTheme="minorHAnsi" w:eastAsia="TimesNewRomanPSMT" w:hAnsiTheme="minorHAnsi" w:cstheme="minorHAnsi"/>
          <w:lang w:val="en-GB"/>
        </w:rPr>
        <w:t>230-247</w:t>
      </w:r>
      <w:r w:rsidR="0083204E" w:rsidRPr="00E541D8">
        <w:rPr>
          <w:rFonts w:asciiTheme="minorHAnsi" w:eastAsia="TimesNewRomanPSMT" w:hAnsiTheme="minorHAnsi" w:cstheme="minorHAnsi"/>
          <w:lang w:val="en-GB"/>
        </w:rPr>
        <w:t>.</w:t>
      </w:r>
    </w:p>
    <w:p w14:paraId="44F535EE" w14:textId="77777777" w:rsidR="00277CD1" w:rsidRPr="00E541D8" w:rsidRDefault="00277CD1" w:rsidP="00277CD1">
      <w:pPr>
        <w:pStyle w:val="Listenabsatz"/>
        <w:rPr>
          <w:rFonts w:eastAsia="TimesNewRomanPSMT" w:cstheme="minorHAnsi"/>
        </w:rPr>
      </w:pPr>
    </w:p>
    <w:p w14:paraId="204B769F" w14:textId="620C2ABB" w:rsidR="00D67605" w:rsidRDefault="00277CD1" w:rsidP="00BA4B57">
      <w:pPr>
        <w:pStyle w:val="Listenabsatz"/>
        <w:numPr>
          <w:ilvl w:val="0"/>
          <w:numId w:val="1"/>
        </w:numPr>
        <w:pBdr>
          <w:top w:val="nil"/>
          <w:left w:val="nil"/>
          <w:bottom w:val="nil"/>
          <w:right w:val="nil"/>
          <w:between w:val="nil"/>
        </w:pBdr>
        <w:spacing w:after="120" w:line="360" w:lineRule="auto"/>
        <w:jc w:val="both"/>
      </w:pPr>
      <w:proofErr w:type="spellStart"/>
      <w:r w:rsidRPr="00E541D8">
        <w:lastRenderedPageBreak/>
        <w:t>Tsui</w:t>
      </w:r>
      <w:proofErr w:type="spellEnd"/>
      <w:r w:rsidRPr="00E541D8">
        <w:t xml:space="preserve">-Auch, L.S. and Chow, D. (2019) ‘MNEs’ agency within institutional contexts: a study of Walmart's post-acquisition practices in Mexico, Germany, and Japan’, </w:t>
      </w:r>
      <w:r w:rsidRPr="00E541D8">
        <w:rPr>
          <w:i/>
        </w:rPr>
        <w:t>Journal of International Management</w:t>
      </w:r>
      <w:r w:rsidRPr="00E541D8">
        <w:t xml:space="preserve">, Vol. 25 No. 2. </w:t>
      </w:r>
      <w:hyperlink r:id="rId21">
        <w:r w:rsidRPr="00E541D8">
          <w:t>https://doi.org/10.1016/j.intman.2018.11.001</w:t>
        </w:r>
      </w:hyperlink>
    </w:p>
    <w:p w14:paraId="69208998" w14:textId="6F05A002" w:rsidR="00D67605" w:rsidRPr="00E541D8" w:rsidRDefault="00D67605" w:rsidP="00BA4B57">
      <w:pPr>
        <w:numPr>
          <w:ilvl w:val="0"/>
          <w:numId w:val="1"/>
        </w:numPr>
        <w:pBdr>
          <w:top w:val="nil"/>
          <w:left w:val="nil"/>
          <w:bottom w:val="nil"/>
          <w:right w:val="nil"/>
          <w:between w:val="nil"/>
        </w:pBdr>
        <w:spacing w:line="480" w:lineRule="auto"/>
        <w:jc w:val="both"/>
      </w:pPr>
      <w:r w:rsidRPr="009F4E1B">
        <w:t>Yin, R. (2014)</w:t>
      </w:r>
      <w:r>
        <w:t xml:space="preserve"> </w:t>
      </w:r>
      <w:r w:rsidRPr="00D67605">
        <w:rPr>
          <w:i/>
          <w:iCs/>
        </w:rPr>
        <w:t>Case Study Research Design and Methods (5th ed.),</w:t>
      </w:r>
      <w:r w:rsidRPr="009F4E1B">
        <w:t xml:space="preserve"> Sage, Thousand Oaks.</w:t>
      </w:r>
    </w:p>
    <w:p w14:paraId="7F01AA83" w14:textId="26CE9248" w:rsidR="00664FD6" w:rsidRPr="00E541D8" w:rsidRDefault="00277CD1" w:rsidP="00084099">
      <w:pPr>
        <w:pStyle w:val="Listenabsatz"/>
        <w:numPr>
          <w:ilvl w:val="0"/>
          <w:numId w:val="1"/>
        </w:numPr>
        <w:pBdr>
          <w:top w:val="nil"/>
          <w:left w:val="nil"/>
          <w:bottom w:val="nil"/>
          <w:right w:val="nil"/>
          <w:between w:val="nil"/>
        </w:pBdr>
        <w:spacing w:after="120" w:line="360" w:lineRule="auto"/>
        <w:jc w:val="both"/>
      </w:pPr>
      <w:r w:rsidRPr="00E541D8">
        <w:t xml:space="preserve">Woodhams, C. and Corby, S. (2007) ‘Then and Now: Disability Legislation and Employers' Practices in the UK`, </w:t>
      </w:r>
      <w:r w:rsidRPr="00E541D8">
        <w:rPr>
          <w:i/>
        </w:rPr>
        <w:t xml:space="preserve">British Journal of Industrial Relations, </w:t>
      </w:r>
      <w:r w:rsidRPr="00E541D8">
        <w:t>Vol. 45</w:t>
      </w:r>
      <w:r w:rsidRPr="00E541D8">
        <w:rPr>
          <w:i/>
        </w:rPr>
        <w:t>,</w:t>
      </w:r>
      <w:r w:rsidRPr="00E541D8">
        <w:t xml:space="preserve"> pp. 556-580. </w:t>
      </w:r>
      <w:hyperlink r:id="rId22">
        <w:r w:rsidRPr="00E541D8">
          <w:t>https://doi.org/10.1111/j.1467-8543.2007.00628.x</w:t>
        </w:r>
      </w:hyperlink>
    </w:p>
    <w:p w14:paraId="7D39C019" w14:textId="78AB3D0F" w:rsidR="001B232D" w:rsidRPr="00E541D8" w:rsidRDefault="001B232D" w:rsidP="00310B5C">
      <w:pPr>
        <w:pStyle w:val="Default"/>
        <w:numPr>
          <w:ilvl w:val="0"/>
          <w:numId w:val="1"/>
        </w:numPr>
        <w:spacing w:line="360" w:lineRule="auto"/>
        <w:jc w:val="both"/>
        <w:rPr>
          <w:rFonts w:asciiTheme="minorHAnsi" w:eastAsia="TimesNewRomanPSMT" w:hAnsiTheme="minorHAnsi" w:cstheme="minorHAnsi"/>
          <w:lang w:val="en-GB"/>
        </w:rPr>
      </w:pPr>
      <w:r w:rsidRPr="00E541D8">
        <w:rPr>
          <w:rFonts w:asciiTheme="minorHAnsi" w:eastAsia="TimesNewRomanPSMT" w:hAnsiTheme="minorHAnsi" w:cstheme="minorHAnsi"/>
          <w:lang w:val="en-GB"/>
        </w:rPr>
        <w:t xml:space="preserve">Zhang, L. (2020) ‘An institutional approach to gender diversity and firm performance’, Organization Science, Vol. 31, pp. 439-457.    </w:t>
      </w:r>
    </w:p>
    <w:p w14:paraId="3EE6CDFF" w14:textId="7A3967F4" w:rsidR="00277CD1" w:rsidRPr="00E541D8" w:rsidRDefault="00277CD1" w:rsidP="00277CD1">
      <w:pPr>
        <w:pBdr>
          <w:top w:val="nil"/>
          <w:left w:val="nil"/>
          <w:bottom w:val="nil"/>
          <w:right w:val="nil"/>
          <w:between w:val="nil"/>
        </w:pBdr>
        <w:shd w:val="clear" w:color="auto" w:fill="FFFFFF"/>
        <w:spacing w:after="280" w:line="360" w:lineRule="auto"/>
        <w:jc w:val="both"/>
      </w:pPr>
    </w:p>
    <w:sectPr w:rsidR="00277CD1" w:rsidRPr="00E541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TimesNewRomanPSMT">
    <w:altName w:val="Heiti TC Light"/>
    <w:panose1 w:val="020B0604020202020204"/>
    <w:charset w:val="80"/>
    <w:family w:val="auto"/>
    <w:pitch w:val="default"/>
    <w:sig w:usb0="00002A87" w:usb1="080F0000" w:usb2="00000010" w:usb3="00000000" w:csb0="0012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792D2A"/>
    <w:multiLevelType w:val="multilevel"/>
    <w:tmpl w:val="D2F0CA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CD3D3F"/>
    <w:multiLevelType w:val="hybridMultilevel"/>
    <w:tmpl w:val="CB3415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8F2C4D"/>
    <w:multiLevelType w:val="multilevel"/>
    <w:tmpl w:val="9AA2D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3D3F32"/>
    <w:multiLevelType w:val="multilevel"/>
    <w:tmpl w:val="600A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A37DB4"/>
    <w:multiLevelType w:val="multilevel"/>
    <w:tmpl w:val="6958D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F04ED0"/>
    <w:multiLevelType w:val="multilevel"/>
    <w:tmpl w:val="874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7114630">
    <w:abstractNumId w:val="2"/>
  </w:num>
  <w:num w:numId="2" w16cid:durableId="46343780">
    <w:abstractNumId w:val="0"/>
  </w:num>
  <w:num w:numId="3" w16cid:durableId="769858764">
    <w:abstractNumId w:val="6"/>
  </w:num>
  <w:num w:numId="4" w16cid:durableId="1128355785">
    <w:abstractNumId w:val="3"/>
  </w:num>
  <w:num w:numId="5" w16cid:durableId="2107845743">
    <w:abstractNumId w:val="5"/>
  </w:num>
  <w:num w:numId="6" w16cid:durableId="1473019863">
    <w:abstractNumId w:val="1"/>
  </w:num>
  <w:num w:numId="7" w16cid:durableId="13366905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A89"/>
    <w:rsid w:val="00002CBB"/>
    <w:rsid w:val="000341A1"/>
    <w:rsid w:val="00037974"/>
    <w:rsid w:val="00084099"/>
    <w:rsid w:val="000C62D8"/>
    <w:rsid w:val="000D3A89"/>
    <w:rsid w:val="000F4E29"/>
    <w:rsid w:val="000F7C46"/>
    <w:rsid w:val="001102CF"/>
    <w:rsid w:val="00120F68"/>
    <w:rsid w:val="001B05FC"/>
    <w:rsid w:val="001B232D"/>
    <w:rsid w:val="001B5E03"/>
    <w:rsid w:val="001C2716"/>
    <w:rsid w:val="001C78D7"/>
    <w:rsid w:val="001F1043"/>
    <w:rsid w:val="001F11AC"/>
    <w:rsid w:val="00206692"/>
    <w:rsid w:val="00215B9E"/>
    <w:rsid w:val="002241C9"/>
    <w:rsid w:val="00277CD1"/>
    <w:rsid w:val="00291166"/>
    <w:rsid w:val="0030476E"/>
    <w:rsid w:val="00310B5C"/>
    <w:rsid w:val="00353223"/>
    <w:rsid w:val="003625CA"/>
    <w:rsid w:val="0041320F"/>
    <w:rsid w:val="00471493"/>
    <w:rsid w:val="004F08D2"/>
    <w:rsid w:val="00516722"/>
    <w:rsid w:val="005365FA"/>
    <w:rsid w:val="005376EE"/>
    <w:rsid w:val="00547914"/>
    <w:rsid w:val="00550542"/>
    <w:rsid w:val="00556512"/>
    <w:rsid w:val="005D70FB"/>
    <w:rsid w:val="00646686"/>
    <w:rsid w:val="00647587"/>
    <w:rsid w:val="00650331"/>
    <w:rsid w:val="00664FD6"/>
    <w:rsid w:val="006F3FD9"/>
    <w:rsid w:val="00700EB6"/>
    <w:rsid w:val="007352AA"/>
    <w:rsid w:val="007C5CA5"/>
    <w:rsid w:val="007D67CD"/>
    <w:rsid w:val="0083204E"/>
    <w:rsid w:val="00841BE3"/>
    <w:rsid w:val="00861714"/>
    <w:rsid w:val="008D0213"/>
    <w:rsid w:val="0093443F"/>
    <w:rsid w:val="00945CE8"/>
    <w:rsid w:val="00962BBE"/>
    <w:rsid w:val="009B1237"/>
    <w:rsid w:val="00A16CD5"/>
    <w:rsid w:val="00A67464"/>
    <w:rsid w:val="00AB3046"/>
    <w:rsid w:val="00AE6C97"/>
    <w:rsid w:val="00AE78F5"/>
    <w:rsid w:val="00B23ACD"/>
    <w:rsid w:val="00B530DA"/>
    <w:rsid w:val="00B758AA"/>
    <w:rsid w:val="00BA3070"/>
    <w:rsid w:val="00BA4B57"/>
    <w:rsid w:val="00BD0009"/>
    <w:rsid w:val="00BD2729"/>
    <w:rsid w:val="00C55917"/>
    <w:rsid w:val="00C56929"/>
    <w:rsid w:val="00C646C6"/>
    <w:rsid w:val="00C752E0"/>
    <w:rsid w:val="00CC1FA1"/>
    <w:rsid w:val="00CD02C6"/>
    <w:rsid w:val="00CD1D90"/>
    <w:rsid w:val="00CE4745"/>
    <w:rsid w:val="00D072B3"/>
    <w:rsid w:val="00D52E65"/>
    <w:rsid w:val="00D67605"/>
    <w:rsid w:val="00E13756"/>
    <w:rsid w:val="00E40496"/>
    <w:rsid w:val="00E541D8"/>
    <w:rsid w:val="00E55074"/>
    <w:rsid w:val="00E8570A"/>
    <w:rsid w:val="00EB75B1"/>
    <w:rsid w:val="00EE3A49"/>
    <w:rsid w:val="00EF2621"/>
    <w:rsid w:val="00F07B61"/>
    <w:rsid w:val="00F74B4C"/>
    <w:rsid w:val="00FC479F"/>
    <w:rsid w:val="00FE6B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3BB0358"/>
  <w15:chartTrackingRefBased/>
  <w15:docId w15:val="{11411E80-4E05-404F-A333-6F9A8E7ED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0D3A89"/>
    <w:pPr>
      <w:autoSpaceDE w:val="0"/>
      <w:autoSpaceDN w:val="0"/>
      <w:adjustRightInd w:val="0"/>
    </w:pPr>
    <w:rPr>
      <w:rFonts w:ascii="Times New Roman" w:hAnsi="Times New Roman" w:cs="Times New Roman"/>
      <w:color w:val="000000"/>
      <w:kern w:val="0"/>
    </w:rPr>
  </w:style>
  <w:style w:type="character" w:styleId="Hyperlink">
    <w:name w:val="Hyperlink"/>
    <w:basedOn w:val="Absatz-Standardschriftart"/>
    <w:uiPriority w:val="99"/>
    <w:unhideWhenUsed/>
    <w:rsid w:val="00547914"/>
    <w:rPr>
      <w:color w:val="0563C1" w:themeColor="hyperlink"/>
      <w:u w:val="single"/>
    </w:rPr>
  </w:style>
  <w:style w:type="character" w:styleId="NichtaufgelsteErwhnung">
    <w:name w:val="Unresolved Mention"/>
    <w:basedOn w:val="Absatz-Standardschriftart"/>
    <w:uiPriority w:val="99"/>
    <w:semiHidden/>
    <w:unhideWhenUsed/>
    <w:rsid w:val="00664FD6"/>
    <w:rPr>
      <w:color w:val="605E5C"/>
      <w:shd w:val="clear" w:color="auto" w:fill="E1DFDD"/>
    </w:rPr>
  </w:style>
  <w:style w:type="character" w:customStyle="1" w:styleId="apple-converted-space">
    <w:name w:val="apple-converted-space"/>
    <w:basedOn w:val="Absatz-Standardschriftart"/>
    <w:rsid w:val="00FC479F"/>
  </w:style>
  <w:style w:type="paragraph" w:styleId="Listenabsatz">
    <w:name w:val="List Paragraph"/>
    <w:basedOn w:val="Standard"/>
    <w:uiPriority w:val="34"/>
    <w:qFormat/>
    <w:rsid w:val="00310B5C"/>
    <w:pPr>
      <w:ind w:left="720"/>
      <w:contextualSpacing/>
    </w:pPr>
  </w:style>
  <w:style w:type="character" w:customStyle="1" w:styleId="authorname">
    <w:name w:val="authorname"/>
    <w:basedOn w:val="Absatz-Standardschriftart"/>
    <w:rsid w:val="00C646C6"/>
  </w:style>
  <w:style w:type="character" w:customStyle="1" w:styleId="Date1">
    <w:name w:val="Date1"/>
    <w:basedOn w:val="Absatz-Standardschriftart"/>
    <w:rsid w:val="00C646C6"/>
  </w:style>
  <w:style w:type="character" w:customStyle="1" w:styleId="arttitle">
    <w:name w:val="art_title"/>
    <w:basedOn w:val="Absatz-Standardschriftart"/>
    <w:rsid w:val="00C646C6"/>
  </w:style>
  <w:style w:type="character" w:customStyle="1" w:styleId="serialtitle">
    <w:name w:val="serial_title"/>
    <w:basedOn w:val="Absatz-Standardschriftart"/>
    <w:rsid w:val="00C646C6"/>
  </w:style>
  <w:style w:type="character" w:customStyle="1" w:styleId="volumeissue">
    <w:name w:val="volume_issue"/>
    <w:basedOn w:val="Absatz-Standardschriftart"/>
    <w:rsid w:val="00C646C6"/>
  </w:style>
  <w:style w:type="character" w:customStyle="1" w:styleId="pagerange">
    <w:name w:val="page_range"/>
    <w:basedOn w:val="Absatz-Standardschriftart"/>
    <w:rsid w:val="00C646C6"/>
  </w:style>
  <w:style w:type="character" w:customStyle="1" w:styleId="doilink">
    <w:name w:val="doi_link"/>
    <w:basedOn w:val="Absatz-Standardschriftart"/>
    <w:rsid w:val="00C646C6"/>
  </w:style>
  <w:style w:type="table" w:styleId="Tabellenraster">
    <w:name w:val="Table Grid"/>
    <w:basedOn w:val="NormaleTabelle"/>
    <w:uiPriority w:val="39"/>
    <w:rsid w:val="001B0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700EB6"/>
    <w:rPr>
      <w:i/>
      <w:iCs/>
    </w:rPr>
  </w:style>
  <w:style w:type="paragraph" w:customStyle="1" w:styleId="nova-legacy-e-listitem">
    <w:name w:val="nova-legacy-e-list__item"/>
    <w:basedOn w:val="Standard"/>
    <w:rsid w:val="00700EB6"/>
    <w:pPr>
      <w:spacing w:before="100" w:beforeAutospacing="1" w:after="100" w:afterAutospacing="1"/>
    </w:pPr>
    <w:rPr>
      <w:rFonts w:ascii="Times New Roman" w:eastAsia="Times New Roman" w:hAnsi="Times New Roman" w:cs="Times New Roman"/>
      <w:kern w:val="0"/>
      <w:lang w:val="de-DE"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138329">
      <w:bodyDiv w:val="1"/>
      <w:marLeft w:val="0"/>
      <w:marRight w:val="0"/>
      <w:marTop w:val="0"/>
      <w:marBottom w:val="0"/>
      <w:divBdr>
        <w:top w:val="none" w:sz="0" w:space="0" w:color="auto"/>
        <w:left w:val="none" w:sz="0" w:space="0" w:color="auto"/>
        <w:bottom w:val="none" w:sz="0" w:space="0" w:color="auto"/>
        <w:right w:val="none" w:sz="0" w:space="0" w:color="auto"/>
      </w:divBdr>
    </w:div>
    <w:div w:id="706683527">
      <w:bodyDiv w:val="1"/>
      <w:marLeft w:val="0"/>
      <w:marRight w:val="0"/>
      <w:marTop w:val="0"/>
      <w:marBottom w:val="0"/>
      <w:divBdr>
        <w:top w:val="none" w:sz="0" w:space="0" w:color="auto"/>
        <w:left w:val="none" w:sz="0" w:space="0" w:color="auto"/>
        <w:bottom w:val="none" w:sz="0" w:space="0" w:color="auto"/>
        <w:right w:val="none" w:sz="0" w:space="0" w:color="auto"/>
      </w:divBdr>
    </w:div>
    <w:div w:id="1185553659">
      <w:bodyDiv w:val="1"/>
      <w:marLeft w:val="0"/>
      <w:marRight w:val="0"/>
      <w:marTop w:val="0"/>
      <w:marBottom w:val="0"/>
      <w:divBdr>
        <w:top w:val="none" w:sz="0" w:space="0" w:color="auto"/>
        <w:left w:val="none" w:sz="0" w:space="0" w:color="auto"/>
        <w:bottom w:val="none" w:sz="0" w:space="0" w:color="auto"/>
        <w:right w:val="none" w:sz="0" w:space="0" w:color="auto"/>
      </w:divBdr>
    </w:div>
    <w:div w:id="1565797888">
      <w:bodyDiv w:val="1"/>
      <w:marLeft w:val="0"/>
      <w:marRight w:val="0"/>
      <w:marTop w:val="0"/>
      <w:marBottom w:val="0"/>
      <w:divBdr>
        <w:top w:val="none" w:sz="0" w:space="0" w:color="auto"/>
        <w:left w:val="none" w:sz="0" w:space="0" w:color="auto"/>
        <w:bottom w:val="none" w:sz="0" w:space="0" w:color="auto"/>
        <w:right w:val="none" w:sz="0" w:space="0" w:color="auto"/>
      </w:divBdr>
    </w:div>
    <w:div w:id="1777286697">
      <w:bodyDiv w:val="1"/>
      <w:marLeft w:val="0"/>
      <w:marRight w:val="0"/>
      <w:marTop w:val="0"/>
      <w:marBottom w:val="0"/>
      <w:divBdr>
        <w:top w:val="none" w:sz="0" w:space="0" w:color="auto"/>
        <w:left w:val="none" w:sz="0" w:space="0" w:color="auto"/>
        <w:bottom w:val="none" w:sz="0" w:space="0" w:color="auto"/>
        <w:right w:val="none" w:sz="0" w:space="0" w:color="auto"/>
      </w:divBdr>
    </w:div>
    <w:div w:id="178966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intman.2021.100921" TargetMode="External"/><Relationship Id="rId13" Type="http://schemas.openxmlformats.org/officeDocument/2006/relationships/hyperlink" Target="https://doi.org/10.2307/2095101" TargetMode="External"/><Relationship Id="rId18" Type="http://schemas.openxmlformats.org/officeDocument/2006/relationships/hyperlink" Target="https://doi.org/10.1108/IJOEM-05-2016-0122" TargetMode="External"/><Relationship Id="rId3" Type="http://schemas.openxmlformats.org/officeDocument/2006/relationships/settings" Target="settings.xml"/><Relationship Id="rId21" Type="http://schemas.openxmlformats.org/officeDocument/2006/relationships/hyperlink" Target="https://doi.org/10.1016/j.intman.2018.11.001" TargetMode="External"/><Relationship Id="rId7" Type="http://schemas.openxmlformats.org/officeDocument/2006/relationships/hyperlink" Target="https://doi.org/10.1108/JOCM-07-2021-0205" TargetMode="External"/><Relationship Id="rId12" Type="http://schemas.openxmlformats.org/officeDocument/2006/relationships/hyperlink" Target="http://dx.doi.org/10.1108/DEI-10-2012-0087" TargetMode="External"/><Relationship Id="rId17" Type="http://schemas.openxmlformats.org/officeDocument/2006/relationships/hyperlink" Target="https://doi.org/10.1080/0966369X.2013.793656" TargetMode="External"/><Relationship Id="rId2" Type="http://schemas.openxmlformats.org/officeDocument/2006/relationships/styles" Target="styles.xml"/><Relationship Id="rId16" Type="http://schemas.openxmlformats.org/officeDocument/2006/relationships/hyperlink" Target="https://doi.org/10.1002/hrm.21713" TargetMode="External"/><Relationship Id="rId20" Type="http://schemas.openxmlformats.org/officeDocument/2006/relationships/hyperlink" Target="https://doi.org/10.1002/hrm.20181" TargetMode="External"/><Relationship Id="rId1" Type="http://schemas.openxmlformats.org/officeDocument/2006/relationships/numbering" Target="numbering.xml"/><Relationship Id="rId6" Type="http://schemas.openxmlformats.org/officeDocument/2006/relationships/hyperlink" Target="https://orcid.org/0000-0002-7460-7521" TargetMode="External"/><Relationship Id="rId11" Type="http://schemas.openxmlformats.org/officeDocument/2006/relationships/hyperlink" Target="https://doi.org/10.1002/hrm.20360" TargetMode="External"/><Relationship Id="rId24" Type="http://schemas.openxmlformats.org/officeDocument/2006/relationships/theme" Target="theme/theme1.xml"/><Relationship Id="rId5" Type="http://schemas.openxmlformats.org/officeDocument/2006/relationships/hyperlink" Target="mailto:andreas.hilger@ur.de" TargetMode="External"/><Relationship Id="rId15" Type="http://schemas.openxmlformats.org/officeDocument/2006/relationships/hyperlink" Target="https://doi.org/10.1080/0031322X.2018.1512467" TargetMode="External"/><Relationship Id="rId23" Type="http://schemas.openxmlformats.org/officeDocument/2006/relationships/fontTable" Target="fontTable.xml"/><Relationship Id="rId10" Type="http://schemas.openxmlformats.org/officeDocument/2006/relationships/hyperlink" Target="https://doi.org/10.1057/s41267-021-00479-2" TargetMode="External"/><Relationship Id="rId19" Type="http://schemas.openxmlformats.org/officeDocument/2006/relationships/hyperlink" Target="https://doi.org/10.1177/23220937221125552" TargetMode="External"/><Relationship Id="rId4" Type="http://schemas.openxmlformats.org/officeDocument/2006/relationships/webSettings" Target="webSettings.xml"/><Relationship Id="rId9" Type="http://schemas.openxmlformats.org/officeDocument/2006/relationships/hyperlink" Target="https://doi.org/10.1007/978-3-030-20401-3_1" TargetMode="External"/><Relationship Id="rId14" Type="http://schemas.openxmlformats.org/officeDocument/2006/relationships/hyperlink" Target="https://doi.org/10.1108/EDI-11-2022-0308" TargetMode="External"/><Relationship Id="rId22" Type="http://schemas.openxmlformats.org/officeDocument/2006/relationships/hyperlink" Target="https://doi.org/10.1111/j.1467-8543.2007.00628.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4247</Words>
  <Characters>26760</Characters>
  <Application>Microsoft Office Word</Application>
  <DocSecurity>0</DocSecurity>
  <Lines>223</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hia01422</dc:creator>
  <cp:keywords/>
  <dc:description/>
  <cp:lastModifiedBy>ANDREAS M. HILGER</cp:lastModifiedBy>
  <cp:revision>4</cp:revision>
  <dcterms:created xsi:type="dcterms:W3CDTF">2024-03-22T13:45:00Z</dcterms:created>
  <dcterms:modified xsi:type="dcterms:W3CDTF">2024-03-22T17:49:00Z</dcterms:modified>
</cp:coreProperties>
</file>